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План работы исследовательского центра SP Science на 2026–2028 годы</w:t>
      </w:r>
    </w:p>
    <w:p>
      <w:pPr/>
      <w:r>
        <w:t>Исследовательский центр Sugar Pulse</w:t>
      </w:r>
    </w:p>
    <w:p>
      <w:pPr/>
      <w:r>
        <w:t>Утверждено Олегом Погожевым и Булатом Валитовым</w:t>
      </w:r>
    </w:p>
    <w:p>
      <w:pPr/>
      <w:r>
        <w:t>Период программы с 1 октября 2026 года по 30 сентября 2028 года</w:t>
      </w:r>
    </w:p>
    <w:p>
      <w:pPr/>
      <w:r>
        <w:t>Версия 1.0 от 21 сентября 2026 года</w:t>
      </w:r>
    </w:p>
    <w:p>
      <w:pPr>
        <w:pStyle w:val="Heading1"/>
      </w:pPr>
      <w:r>
        <w:t>1 Назначение и результат программы</w:t>
      </w:r>
    </w:p>
    <w:p>
      <w:pPr/>
      <w:r>
        <w:t>Мы формируем исследовательскую программу SP Science по сахарному диабету 1 типа. За два года центр должен пройти последовательность от изучения мирового научного ландшафта и выбора приоритетной задачи до пилотной проверки, независимого повторения ключевого результата и обоснованного решения о продолжении работы.</w:t>
      </w:r>
    </w:p>
    <w:p>
      <w:pPr/>
      <w:r>
        <w:t>Первый аналитический результат — глобальная карта исследований потенциальных терапий и путей к излечению СД1. Она задаёт общую основу для консультаций с исследователями, сопоставления предложений и выбора работ, которые центр способен выполнить с доступными партнёрами и ресурсами.</w:t>
      </w:r>
    </w:p>
    <w:p>
      <w:pPr/>
      <w:r>
        <w:t>Утверждается организационная последовательность и плановая финансовая рамка. Конкретные гипотезы, протоколы, площадки и сметы утверждаются отдельно по мере получения данных и подтверждения финансирования. Критерий успеха — качество научного ответа и возможность принять следующее решение, включая решение остановить не подтвердившуюся гипотезу.</w:t>
      </w:r>
    </w:p>
    <w:p>
      <w:pPr>
        <w:pStyle w:val="Heading1"/>
      </w:pPr>
      <w:r>
        <w:t>2 Первые три месяца</w:t>
      </w:r>
    </w:p>
    <w:p>
      <w:pPr>
        <w:pStyle w:val="Heading2"/>
      </w:pPr>
      <w:r>
        <w:t>Октябрь 2026 года сбор и систематизация информации</w:t>
      </w:r>
    </w:p>
    <w:p>
      <w:pPr/>
      <w:r>
        <w:t>Обновляем базу первоисточников, реестров исследований и публикаций по клеточным технологиям, иммунной защите, сохранению и восстановлению функции β-клеток. Для каждого подхода фиксируем целевую группу, стадию развития, результат, ограничения и нерешённый вопрос. Глобальная карта становится исходной версией регулярно обновляемого научного реестра.</w:t>
      </w:r>
    </w:p>
    <w:p>
      <w:pPr/>
      <w:r>
        <w:t>Собираем предложения коллег, в том числе наработки Булата Валитова и Байдуса, и рассматриваем возможность продолжения ранее начатых исследований. Для оценки запрашиваем описание гипотезы, публикации, протоколы, исходные данные, независимые повторы, отрицательные результаты, доступность материалов и условия использования разработок. Включение предложения в рассмотрение не означает подтверждения его эффективности.</w:t>
      </w:r>
    </w:p>
    <w:p>
      <w:pPr/>
      <w:r>
        <w:t>Результат месяца: структурированный реестр направлений и предложений, перечень пробелов в данных, карта потенциальных исследователей и площадок, распределение организационных функций.</w:t>
      </w:r>
    </w:p>
    <w:p>
      <w:pPr>
        <w:pStyle w:val="Heading2"/>
      </w:pPr>
      <w:r>
        <w:t>Ноябрь 2026 года консультации и оценка выполнимости</w:t>
      </w:r>
    </w:p>
    <w:p>
      <w:pPr/>
      <w:r>
        <w:t>Проводим консультации с исследователями, уже работающими в выбранных направлениях, и профильными экспертами. Уточняем, какие вопросы остаются открытыми и где участие центра может дать проверяемый результат. Сравниваем продолжение предложенных коллегами работ с альтернативными задачами из глобальной карты.</w:t>
      </w:r>
    </w:p>
    <w:p>
      <w:pPr/>
      <w:r>
        <w:t>Для 2–3 наиболее зрелых гипотез готовим краткие досье. Проверяем воспроизводимость исходных результатов, доступ к модели и материалам, права на разработки, необходимые компетенции, сроки, стоимость и научную ценность следующей проверки. Запрашиваем условия у 2–3 подходящих площадок, когда такой выбор доступен.</w:t>
      </w:r>
    </w:p>
    <w:p>
      <w:pPr/>
      <w:r>
        <w:t>Результат месяца: протоколы экспертных консультаций, сравнительная оценка кандидатов, предложения исполнителей, предварительные сметы и перечень условий для старта.</w:t>
      </w:r>
    </w:p>
    <w:p>
      <w:pPr>
        <w:pStyle w:val="Heading2"/>
      </w:pPr>
      <w:r>
        <w:t>Декабрь 2026 года приоритеты и финансовый план</w:t>
      </w:r>
    </w:p>
    <w:p>
      <w:pPr/>
      <w:r>
        <w:t>Выбираем один основной проект и один резервный. Научную рекомендацию готовит Булат Валитов с участием методолога и внешних экспертов; объём работ, бюджет и внешние обязательства утверждаем совместно. При недостаточности доказательств или ресурсов продолжаем подготовку без преждевременного запуска пилота.</w:t>
      </w:r>
    </w:p>
    <w:p>
      <w:pPr/>
      <w:r>
        <w:t>Формируем паспорт проекта, первый вариант протокола и плана анализа, критерии продолжения и остановки, перечень исполнителей и календарь. Составляем подробную смету первого этапа, финансовую модель на 24 месяца и прогноз движения средств на ближайшие 90 дней.</w:t>
      </w:r>
    </w:p>
    <w:p>
      <w:pPr/>
      <w:r>
        <w:t>Готовим пакет для партнёров, грантовых программ и меценатов. Привлечение финансирования идёт с начала программы параллельно научному выбору. Устный интерес учитывается отдельно от подтверждённых средств и оформленного вклада ресурсами.</w:t>
      </w:r>
    </w:p>
    <w:p>
      <w:pPr/>
      <w:r>
        <w:t>Результат квартала: карта исследований, основной и резервный проекты, согласованные роли, план площадки и доступа к материалам, финансовый план и решение о готовности следующего этапа.</w:t>
      </w:r>
    </w:p>
    <w:p>
      <w:pPr>
        <w:pStyle w:val="Heading1"/>
      </w:pPr>
      <w:r>
        <w:t>3 Исследовательские приоритеты и модель старта</w:t>
      </w:r>
    </w:p>
    <w:p>
      <w:pPr/>
      <w:r>
        <w:t>Научное ядро программы — восстановление достаточной массы функциональных инсулин-продуцирующих клеток и их безопасная защита от иммунного разрушения. Для раннего СД1 отдельно рассматриваем сохранение остаточной секреции. Клеточное замещение и сохранение клеток решают разные задачи и оцениваются для соответствующих популяций.</w:t>
      </w:r>
    </w:p>
    <w:p>
      <w:pPr/>
      <w:r>
        <w:t>Кандидатами для собственной исследовательской ниши могут быть локальная иммунная защита, жизнеспособность и кислородное обеспечение островков, клеточный стресс, стандартизация моделей, биомаркеры ответа и воспроизводимый анализ открытых данных. Это направления отбора, а не заранее выбранные продукты.</w:t>
      </w:r>
    </w:p>
    <w:p>
      <w:pPr/>
      <w:r>
        <w:t>Начинаем с небольшой постоянной команды и работ на партнёрской базе. Резервный проект получает ограниченную подготовку. Собственную лабораторию и крупное оборудование рассматриваем после подтверждения необходимости, загрузки, полной стоимости владения и источника средств.</w:t>
      </w:r>
    </w:p>
    <w:p>
      <w:pPr/>
      <w:r>
        <w:t>Паспорт проекта включает гипотезу, целевую группу, исходные доказательства, модель, основной показатель, контроль, план повторной проверки, план анализа, ресурсы, права на материалы и результаты, риски, календарь и критерии решения. Методология согласуется до начала сбора данных.</w:t>
      </w:r>
    </w:p>
    <w:p>
      <w:pPr>
        <w:pStyle w:val="Heading1"/>
      </w:pPr>
      <w:r>
        <w:t>4 Этапы на два года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02"/>
        <w:gridCol w:w="3816"/>
        <w:gridCol w:w="4075"/>
      </w:tblGrid>
      <w:tr>
        <w:trPr>
          <w:cantSplit/>
          <w:tblHeader/>
        </w:trPr>
        <w:tc>
          <w:tcPr>
            <w:tcW w:type="dxa" w:w="210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3816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Основная работа</w:t>
            </w:r>
          </w:p>
        </w:tc>
        <w:tc>
          <w:tcPr>
            <w:tcW w:type="dxa" w:w="4075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Результат и условие перехода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Октябрь — декабрь 2026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Глобальный ландшафт, предложения коллег, консультации, приоритеты, партнёры, финансовый план и фандрейзинг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Основной и резервный проекты; документированная выполнимость и средства на следующий этап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Январь — март 2027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Уточнение протокола и анализа, проверка метода, договоры с площадкой, необходимые согласования, материалы и хранение данных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Готовый метод, исполнители, доступ к ресурсам и финансирование первого цикла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Апрель — июнь 2027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Лабораторный пилот или анализ существующих данных, контроль качества и ежемесячная оценка расходов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Промежуточный отчёт и решение продолжить, изменить или остановить работу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Июль — сентябрь 2027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Повтор ключевого результата на независимой серии; по возможности другой исполнитель или площадка; внешняя научная оценка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Оценка воспроизводимости и ограничений; решение о втором году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Октябрь — декабрь 2027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Ревизия портфеля, уточнение партнёрств и сметы, заявки на финансирование второго года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Утверждённый маршрут второго года и средства на его первый этап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Январь — март 2028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Расширенная проверка; анализ подтипов или маркеров ответа, если обоснован данными; оформление коллабораций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Промежуточный пакет данных для внешней экспертизы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Апрель — июнь 2028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Совместные анализы и дополнительные серии в рамках протокола, международные научные обсуждения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Согласованные выводы и подготовленный научный отчёт или рукопись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Июль — сентябрь 2028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Закрытие базы, аудит данных и расходов, итоговая экспертиза, публичный отчёт и следующая программа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Решение о продолжении, изменении или завершении маршрута; программа и бюджет 2029 года</w:t>
            </w:r>
          </w:p>
        </w:tc>
      </w:tr>
    </w:tbl>
    <w:p>
      <w:pPr>
        <w:spacing w:after="0"/>
      </w:pPr>
    </w:p>
    <w:p>
      <w:pPr/>
      <w:r>
        <w:t>Сроки являются целевыми. Переход определяется готовностью данных, метода, разрешений и ресурсов. При переносе этапа обновляются календарь и смета; научные выводы не подгоняются под дату.</w:t>
      </w:r>
    </w:p>
    <w:p>
      <w:pPr>
        <w:pStyle w:val="Heading1"/>
      </w:pPr>
      <w:r>
        <w:t>5 Команда и управление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26"/>
      </w:tblGrid>
      <w:tr>
        <w:trPr>
          <w:cantSplit/>
          <w:tblHeader/>
        </w:trPr>
        <w:tc>
          <w:tcPr>
            <w:tcW w:type="dxa" w:w="3168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  <w:tc>
          <w:tcPr>
            <w:tcW w:type="dxa" w:w="6826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Ответственность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Булат Валитов научный руководитель</w:t>
            </w:r>
          </w:p>
        </w:tc>
        <w:tc>
          <w:tcPr>
            <w:tcW w:type="dxa" w:w="68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Научные приоритеты, гипотезы, протоколы, требования к исполнителям, интерпретация данных и выводы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Олег Погожев административный руководитель</w:t>
            </w:r>
          </w:p>
        </w:tc>
        <w:tc>
          <w:tcPr>
            <w:tcW w:type="dxa" w:w="682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Финансирование, партнёры, договоры, бюджет, организационные условия и внешние обязательства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Координатор исследований</w:t>
            </w:r>
          </w:p>
        </w:tc>
        <w:tc>
          <w:tcPr>
            <w:tcW w:type="dxa" w:w="68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Календарь, задачи, связь с исполнителями, реестр решений и отчётность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Методолог биостатистик и специалист по данным</w:t>
            </w:r>
          </w:p>
        </w:tc>
        <w:tc>
          <w:tcPr>
            <w:tcW w:type="dxa" w:w="682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Дизайн исследования, план анализа, обоснование объёма наблюдений или повторов, качество и воспроизводимость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Исследователь и команда площадки</w:t>
            </w:r>
          </w:p>
        </w:tc>
        <w:tc>
          <w:tcPr>
            <w:tcW w:type="dxa" w:w="68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Выполнение работ, лабораторные записи, контроль качества и передача исходных данных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Юридическое и финансовое сопровождение</w:t>
            </w:r>
          </w:p>
        </w:tc>
        <w:tc>
          <w:tcPr>
            <w:tcW w:type="dxa" w:w="682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Договоры, интеллектуальные права, данные, применимые требования, учёт и контроль расходов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Внешние эксперты</w:t>
            </w:r>
          </w:p>
        </w:tc>
        <w:tc>
          <w:tcPr>
            <w:tcW w:type="dxa" w:w="68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Независимая оценка на выборе проекта и контрольных точках</w:t>
            </w:r>
          </w:p>
        </w:tc>
      </w:tr>
    </w:tbl>
    <w:p>
      <w:pPr>
        <w:spacing w:after="0"/>
      </w:pPr>
    </w:p>
    <w:p>
      <w:pPr/>
      <w:r>
        <w:t>Часть функций совмещается или привлекается по договору. Занятость и оплата определяются под выбранный этап. Каждые две недели проводим рабочую сверку, ежемесячно рассматриваем бюджет и риски, по окончании этапа оформляем решение. Проекты, существенные изменения и внешние обязательства утверждаются Олегом Погожевым и Булатом Валитовым совместно. Научный вывод независим от финансирующей стороны.</w:t>
      </w:r>
    </w:p>
    <w:p>
      <w:pPr/>
      <w:r>
        <w:t>До начала работ определяем юридического оператора, страну и площадку, ответственного за данные, права на исходные разработки и новые результаты. Доступ к чужим материалам и данным оформляем соглашениями; правила авторства и публикации фиксируем заранее.</w:t>
      </w:r>
    </w:p>
    <w:p>
      <w:pPr>
        <w:pStyle w:val="Heading1"/>
      </w:pPr>
      <w:r>
        <w:t>6 Плановый бюджет</w:t>
      </w:r>
    </w:p>
    <w:p>
      <w:pPr/>
      <w:r>
        <w:t>Целевая рамка составляет 70 млн рублей в год и 140 млн рублей за два года. Это план привлечения и распределения средств, а не сообщение об уже полученном финансировании. Детальная смета строится по выбранному протоколу, предложениям исполнителей, налогам, логистике и валюте расчётов.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192"/>
        <w:gridCol w:w="1901"/>
        <w:gridCol w:w="1901"/>
      </w:tblGrid>
      <w:tr>
        <w:trPr>
          <w:cantSplit/>
          <w:tblHeader/>
        </w:trPr>
        <w:tc>
          <w:tcPr>
            <w:tcW w:type="dxa" w:w="619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Статья расходов</w:t>
            </w:r>
          </w:p>
        </w:tc>
        <w:tc>
          <w:tcPr>
            <w:tcW w:type="dxa" w:w="1901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Год 1 млн ₽</w:t>
            </w:r>
          </w:p>
        </w:tc>
        <w:tc>
          <w:tcPr>
            <w:tcW w:type="dxa" w:w="1901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Год 2 млн ₽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Научное руководство и исследовательская команда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16,80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18,20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Координация и административное управление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4,20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4,20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Методология статистика и данные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4,20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4,20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Партнёрская лаборатория и доступ к базе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15,40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15,40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Материалы реагенты и логистика образцов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8,40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9,80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Повторная проверка и внешняя экспертиза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4,20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5,60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Юридические этические вопросы и интеллектуальные права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2,80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2,80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Программные средства хранение и публикации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2,80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2,80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Просвещение сообщество и фокус группы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2,10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2,10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Международные связи и рабочие поездки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2,10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2,10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Нераспределённый резерв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7,00</w:t>
            </w:r>
          </w:p>
        </w:tc>
        <w:tc>
          <w:tcPr>
            <w:tcW w:type="dxa" w:w="190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2,80</w:t>
            </w:r>
          </w:p>
        </w:tc>
      </w:tr>
      <w:tr>
        <w:trPr>
          <w:cantSplit/>
        </w:trPr>
        <w:tc>
          <w:tcPr>
            <w:tcW w:type="dxa" w:w="619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Итого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70,00</w:t>
            </w:r>
          </w:p>
        </w:tc>
        <w:tc>
          <w:tcPr>
            <w:tcW w:type="dxa" w:w="1901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70,00</w:t>
            </w:r>
          </w:p>
        </w:tc>
      </w:tr>
    </w:tbl>
    <w:p>
      <w:pPr>
        <w:spacing w:after="0"/>
      </w:pPr>
    </w:p>
    <w:p>
      <w:pPr/>
      <w:r>
        <w:t>Расчётная модель предусматривает вклад Sugar Pulse около 10%: 7 млн рублей в год, 14 млн рублей за два года. Цель внешнего привлечения — 63 млн рублей в год, 126 млн рублей за два года. Конкретный собственный вклад подтверждается отдельно; денежные средства и вклад партнёров оборудованием, временем специалистов или доступом к базе учитываются раздельно.</w:t>
      </w:r>
    </w:p>
    <w:p>
      <w:pPr/>
      <w:r>
        <w:t>Бюджет контролируется по обязательствам и фактическим платежам. Резерв не расходуется автоматически. Новые этапы запускаются после подтверждения полного покрытия соответствующего объёма работ; при нехватке средств уменьшаем объём, переносим этап или используем обоснованный аналитический маршрут.</w:t>
      </w:r>
    </w:p>
    <w:p>
      <w:pPr>
        <w:pStyle w:val="Heading1"/>
      </w:pPr>
      <w:r>
        <w:t>7 Привлечение финансирования и партнёров</w:t>
      </w:r>
    </w:p>
    <w:p>
      <w:pPr/>
      <w:r>
        <w:t>В октябре — ноябре 2026 года формируем карту 25–40 потенциальных партнёров, научных организаций, грантовых программ и меценатов. Для каждого фиксируем соответствие теме, возможный вклад, условия, сроки решения и следующий шаг. В ноябре — декабре готовим адресные предложения и начинаем предметные переговоры.</w:t>
      </w:r>
    </w:p>
    <w:p>
      <w:pPr/>
      <w:r>
        <w:t>Пакет включает описание проблемы и гипотезы, команду, паспорт проекта, ожидаемый результат конкретного этапа, смету, календарь, собственный вклад, условия доступа к данным и права на результаты. Формулируем научные ограничения и правила отчётности без обещания положительного результата.</w:t>
      </w:r>
    </w:p>
    <w:p>
      <w:pPr/>
      <w:r>
        <w:t>В январе — сентябре 2027 года подаём целевые заявки и согласуем поэтапное софинансирование. В июле — декабре 2027 года обеспечиваем первые этапы второго года на основе полученных данных и внешней оценки. В 2028 году готовим следующий раунд и программу 2029 года. Финансирование не даёт права изменять научные выводы.</w:t>
      </w:r>
    </w:p>
    <w:p>
      <w:pPr>
        <w:pStyle w:val="Heading1"/>
      </w:pPr>
      <w:r>
        <w:t>8 Контрольные результаты и публичная работа</w:t>
      </w:r>
    </w:p>
    <w:p>
      <w:pPr/>
      <w:r>
        <w:t>К 31 декабря 2026 года: реестр направлений и предложений, результаты консультаций, основной и резервный проекты, финансовый план и пакет для партнёров. К 31 марта 2027 года: протокол, план анализа, договорённости, ресурсы и решение о готовности пилота. К 30 июня 2027 года: промежуточный отчёт. К 30 сентября 2027 года: повторная проверка и внешняя оценка.</w:t>
      </w:r>
    </w:p>
    <w:p>
      <w:pPr/>
      <w:r>
        <w:t>К 31 декабря 2027 года: маршрут второго года и финансирование первого этапа. К 30 июня 2028 года: ориентир 1–2 формализованные внешние коллаборации или совместные научные маршруты. К 30 сентября 2028 года: итоговый научный и финансовый отчёт, данные и документы, публикационный пакет при достаточности результатов, следующая программа.</w:t>
      </w:r>
    </w:p>
    <w:p>
      <w:pPr/>
      <w:r>
        <w:t>Поддерживаем двуязычную библиотеку документов и разборов. Коммуникационные ориентиры: научный дайджест ежемесячно, вебинар или круглый стол ежеквартально, 6–10 экспертных разговоров в год. Отчёты различают гипотезы, предварительные данные и подтверждённые результаты; отрицательные результаты учитываются наравне с положительными.</w:t>
      </w:r>
    </w:p>
    <w:p>
      <w:pPr>
        <w:pStyle w:val="Heading1"/>
      </w:pPr>
      <w:r>
        <w:t>9 Риски и условия проведения исследований</w:t>
      </w:r>
    </w:p>
    <w:p>
      <w:pPr/>
      <w:r>
        <w:t>Главные риски — преждевременный выбор гипотезы, недоступность площадки или материалов, невоспроизводимость, перегрузка команды и недостаток финансирования. Управляем ими через сравнительный отбор, ограниченные этапы, резервный маршрут, заранее запланированную повторную проверку, координатора и 90-дневный финансовый прогноз.</w:t>
      </w:r>
    </w:p>
    <w:p>
      <w:pPr/>
      <w:r>
        <w:t>Работа с людьми, идентифицируемыми данными или биологическими материалами требует отдельного протокола, необходимых этических решений, согласий и разрешений. Аудитория и данные пользователей Sugar Pulse не становятся исследовательской базой автоматически. Набор участников и выход к клиническим испытаниям не являются обязательством этого плана.</w:t>
      </w:r>
    </w:p>
    <w:p>
      <w:pPr/>
      <w:r>
        <w:t>Программа не обещает излечения СД1 за два года. Её результат — проверенная исследовательская задача, воспроизводимые данные, научные партнёрства и обоснованная основа для следующего этапа.</w:t>
      </w:r>
    </w:p>
    <w:p>
      <w:pPr>
        <w:pStyle w:val="Heading1"/>
      </w:pPr>
      <w:r>
        <w:t>10 Связанные документы и пересмотр плана</w:t>
      </w:r>
    </w:p>
    <w:p>
      <w:pPr/>
      <w:r>
        <w:t>Глобальная карта исследований потенциальных терапий и путей к излечению сахарного диабета 1 типа, SP Science, версия 1.0, срез источников на 20 сентября 2026 года, используется для выбора и пересмотра приоритетов.</w:t>
      </w:r>
    </w:p>
    <w:p>
      <w:pPr/>
      <w:r>
        <w:t>План пересматривается на контрольных точках и при существенном изменении данных, доступности площадки или финансирования. Новая редакция получает номер версии и дату; решения по отдельным проектам и сметам фиксируются отдельно. Общая организационная основа продолжает ранее сформированную программу первого года и двухлетнюю рамку SP Science.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085"/>
        <w:sz w:val="16"/>
      </w:rPr>
      <w:t xml:space="preserve">SP Science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исследовательского центра SP Science на 2026–2028 годы</dc:title>
  <dc:subject>SP Science Research Centre</dc:subject>
  <dc:creator>Oleg Pogozhev; Bulat Valitov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