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Глобальная карта исследований потенциальных терапий и путей к излечению сахарного диабета 1 типа</w:t>
      </w:r>
    </w:p>
    <w:p>
      <w:pPr>
        <w:pStyle w:val="Subtitle"/>
      </w:pPr>
      <w:r>
        <w:t>Исследовательский центр SP Science by Sugar Pulse</w:t>
      </w:r>
    </w:p>
    <w:p>
      <w:pPr/>
      <w:r>
        <w:t>Авторы Олег Погожев и Булат Валитов</w:t>
      </w:r>
    </w:p>
    <w:p>
      <w:pPr/>
      <w:r>
        <w:t>Версия 1.0 от 21 сентября 2026 года</w:t>
      </w:r>
    </w:p>
    <w:p>
      <w:pPr/>
      <w:r>
        <w:t>Срез открытых источников на 20 сентября 2026 года</w:t>
      </w:r>
    </w:p>
    <w:p>
      <w:pPr>
        <w:pStyle w:val="Heading1"/>
      </w:pPr>
      <w:r>
        <w:t>Назначение документа</w:t>
      </w:r>
    </w:p>
    <w:p>
      <w:pPr/>
      <w:r>
        <w:t>Карта представляет один из первых аналитических результатов работы SP Science. Мы систематизировали глобальный ландшафт исследований, чтобы определить научные приоритеты центра, подготовить консультации с исследователями и выбрать проверяемые задачи для двухлетней программы. Документ служит общей основой внутреннего научного планирования и открытого диалога с партнёрами.</w:t>
      </w:r>
    </w:p>
    <w:p>
      <w:pPr>
        <w:pStyle w:val="Heading1"/>
      </w:pPr>
      <w:r>
        <w:t>Главный вывод</w:t>
      </w:r>
    </w:p>
    <w:p>
      <w:pPr/>
      <w:r>
        <w:t>Ближе всего к восстановлению самостоятельной регуляции глюкозы при длительном СД1 находятся замещение островковых клеток и защита трансплантата. Независимость от внешнего инсулина уже достигнута у части людей, однако наиболее зрелые подходы требуют иммунной терапии, сложной инфраструктуры и строгого отбора пациентов. Следующий качественный рубеж — воспроизводимая, длительная независимость одновременно от внешнего инсулина и хронической системной иммуносупрессии. Массовая доступность такого результата, особенно для детей, ещё не установлена. [1–12]</w:t>
      </w:r>
    </w:p>
    <w:p>
      <w:pPr/>
      <w:r>
        <w:t>При раннем СД1 действует другая логика: сохранить оставшиеся клетки и затормозить аутоиммунный процесс. Здесь наиболее зрелая специфическая иммунотерапия — теплизумаб. Эти результаты нельзя автоматически переносить на человека с многолетним заболеванием и практически отсутствующим резервом β-клеток. [17–18]</w:t>
      </w:r>
    </w:p>
    <w:p>
      <w:pPr/>
      <w:r>
        <w:t>Этот документ объединяет лестницу готовности, дерево научных направлений, каталог подходов и ориентиры для выбора проектов. В нём отдельно обозначены подтверждённые результаты, заявления разработчиков, ранние гипотезы и направления без проверяемой доказательной базы.</w:t>
      </w:r>
    </w:p>
    <w:p>
      <w:pPr>
        <w:pStyle w:val="Heading1"/>
      </w:pPr>
      <w:r>
        <w:t>Как читать документ</w:t>
      </w:r>
    </w:p>
    <w:p>
      <w:pPr/>
      <w:r>
        <w:t>Готовность показывает, насколько далеко дошла конкретная технология. Перспективность — аналитическая оценка её способности решить важную проблему СД1. Это разные характеристики: ранний проект может быть стратегически привлекательным, а поздняя клиническая программа — остановиться после неудачи.</w:t>
      </w:r>
    </w:p>
    <w:p>
      <w:pPr/>
      <w:r>
        <w:t>Независимость от инсулина означает отсутствие потребности во внешнем инсулине в указанный период наблюдения. Она не доказывает устранение аутоиммунитета, пожизненный эффект или отсутствие другой терапии. В этом обзоре выражение «функциональное излечение» допустимо только в таком ограниченном смысле.</w:t>
      </w:r>
    </w:p>
    <w:p>
      <w:pPr/>
      <w:r>
        <w:t>Охват: основные мировые классы исследований, ведущие проверенные программы и важные экспериментальные ветви. Это расширенная карта области, а не исчерпывающая выгрузка всех зарегистрированных испытаний и всех лабораторных публикаций. Для полного систематического реестра нужны отдельная стратегия поиска, дедупликация реестров и скрининг публикаций. У неуточнённых программ неизвестный статус указан прямо.</w:t>
      </w:r>
    </w:p>
    <w:p>
      <w:pPr/>
      <w:r>
        <w:t>Назначение: научное планирование. Документ не является протоколом лечения, подбором терапии пациенту или подтверждением разрешения на применение метода в России либо ОАЭ. Финансовые суммы и обязательства центра в него не включены.</w:t>
      </w:r>
    </w:p>
    <w:p>
      <w:pPr>
        <w:pStyle w:val="Heading1"/>
      </w:pPr>
      <w:r>
        <w:t>1 Лестница близости к применению</w:t>
      </w:r>
    </w:p>
    <w:p>
      <w:pPr/>
      <w:r>
        <w:t>Порядок сверху вниз отражает готовность конкретного подхода. Уровни не являются прогнозом количества лет до появления лечения. Для каждого проекта необходима дополнительная оценка безопасности, масштаба производства и целевой группы.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02"/>
        <w:gridCol w:w="3816"/>
        <w:gridCol w:w="4075"/>
      </w:tblGrid>
      <w:tr>
        <w:trPr>
          <w:cantSplit/>
          <w:tblHeader/>
        </w:trPr>
        <w:tc>
          <w:tcPr>
            <w:tcW w:type="dxa" w:w="2102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/>
                <w:color w:val="FFFFFF"/>
                <w:sz w:val="18"/>
              </w:rPr>
              <w:t>Уровень</w:t>
            </w:r>
          </w:p>
        </w:tc>
        <w:tc>
          <w:tcPr>
            <w:tcW w:type="dxa" w:w="3816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/>
                <w:color w:val="FFFFFF"/>
                <w:sz w:val="18"/>
              </w:rPr>
              <w:t>Что уже существует</w:t>
            </w:r>
          </w:p>
        </w:tc>
        <w:tc>
          <w:tcPr>
            <w:tcW w:type="dxa" w:w="4075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/>
                <w:color w:val="FFFFFF"/>
                <w:sz w:val="18"/>
              </w:rPr>
              <w:t>Примеры и главный предел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I Применение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Зарегистрированный метод или специализированная клиническая практика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Трансплантация поджелудочной и донорских островков; Lantidra; теплизумаб по определённым показаниям. Ограничения по пациентам и географии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II Продвинутая клиника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Клиническая программа поздней стадии и убедительный сигнал у людей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Zimislecel. Есть независимость от инсулина, но нужна иммуносупрессия; регистрация не подтверждена этим обзором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III Ранняя клиника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Исследования у людей, малые серии или рандомизированный сигнал, требующий продолжения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Донорские островки с тегопрубартом, Cell Pouch, UP421, Encellin, барицитиниб, устекинумаб, верапамил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IV Доклиника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Работы на человеческих клетках и животных; подготовка к первым испытаниям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SC451 по подтверждённому августовскому сообщению; iTOL-102; локальная иммунная защита; DYRK1A и GLP-1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V Поисковая наука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Проверяемый механизм и раннее доказательство принципа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Перепрограммирование клеток, синтетические системы секреции, электрическое и радиочастотное управление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VI Неподтверждённые идеи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Нет достаточного проверяемого основания для лечебного применения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Биоэнергетическое лечение, «волновая перезапись», частоты болезни без валидированного механизма и воспроизводимых данных</w:t>
            </w:r>
          </w:p>
        </w:tc>
      </w:tr>
    </w:tbl>
    <w:p>
      <w:pPr>
        <w:spacing w:after="0"/>
      </w:pPr>
    </w:p>
    <w:p>
      <w:pPr/>
      <w:r>
        <w:t>Отдельная отметка X — остановлено, отрицательный результат или существенная неопределённость. Это не ещё одна ступень прогресса. Например, достигнутая фаза III не делает Diamyd готовым к применению после отрицательного промежуточного анализа. [27]</w:t>
      </w:r>
    </w:p>
    <w:p>
      <w:pPr/>
      <w:r>
        <w:t>Отдельная отметка М — метод исследования. Биоинформатика, биофизика, omics, математическое моделирование и ИИ не помещаются «ниже» клинических препаратов. Это инструменты, которые могут работать на всех уровнях.</w:t>
      </w:r>
    </w:p>
    <w:p>
      <w:pPr>
        <w:pStyle w:val="Heading2"/>
      </w:pPr>
      <w:r>
        <w:t>Что означает высокий приоритет</w:t>
      </w:r>
    </w:p>
    <w:p>
      <w:pPr/>
      <w:r>
        <w:t>П1: критично для цели центра — восстановление клеточной массы, защита от иммунитета, выживание трансплантата. П2: перспективный компонент или путь сохранения остаточной функции. П3: исследовательское наблюдение до более сильного подтверждения. П0: не включать в лечебную программу без воспроизводимых данных. Эти обозначения — аналитические оценки авторов, а не официальная оценка разработчиков.</w:t>
      </w:r>
    </w:p>
    <w:p>
      <w:pPr>
        <w:pStyle w:val="Heading1"/>
      </w:pPr>
      <w:r>
        <w:t>2 Дерево научных направлений</w:t>
      </w:r>
    </w:p>
    <w:p>
      <w:pPr/>
      <w:r>
        <w:t>Дерево построено по задаче. Внутри каждой ветви можно двигаться от клинических методов к ранним решениям. Один проект имеет несколько признаков: например, гипоиммунный островок одновременно относится к клеточной терапии, генетической инженерии и иммунологии.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02"/>
        <w:gridCol w:w="3816"/>
        <w:gridCol w:w="4075"/>
      </w:tblGrid>
      <w:tr>
        <w:trPr>
          <w:cantSplit/>
          <w:tblHeader/>
        </w:trPr>
        <w:tc>
          <w:tcPr>
            <w:tcW w:type="dxa" w:w="2102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/>
                <w:color w:val="FFFFFF"/>
                <w:sz w:val="18"/>
              </w:rPr>
              <w:t>Основная ветвь</w:t>
            </w:r>
          </w:p>
        </w:tc>
        <w:tc>
          <w:tcPr>
            <w:tcW w:type="dxa" w:w="3816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/>
                <w:color w:val="FFFFFF"/>
                <w:sz w:val="18"/>
              </w:rPr>
              <w:t>Подветви</w:t>
            </w:r>
          </w:p>
        </w:tc>
        <w:tc>
          <w:tcPr>
            <w:tcW w:type="dxa" w:w="4075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/>
                <w:color w:val="FFFFFF"/>
                <w:sz w:val="18"/>
              </w:rPr>
              <w:t>Что должно измениться у пациента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А Восстановить клетки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Донорская трансплантация → клетки из ESC и iPSC → аутологичные клетки → ксеногенные островки → регенерация in vivo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Появляется достаточная глюкозозависимая секреция инсулина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Б Защитить клетки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Системная иммунотерапия → инкапсуляция → гипоиммунное редактирование → локальная защита → антигенная толерантность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Новые или оставшиеся клетки перестают разрушаться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В Обеспечить работу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Сосудистое ложе → кислород и питание → биоматериалы → контроль фиброза → мониторинг и извлечение импланта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Клетки сохраняют жизнеспособность и управляемость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Г Сохранить резерв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Теплизумаб → другие иммунные мишени → защита от клеточного стресса → противовирусные стратегии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Медленнее снижается собственная секреция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Д Управлять без восстановления клеток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AID и CGM → новые инсулины → вспомогательные препараты → синтетические системы доставки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Улучшается контроль, но причина СД1 не обязательно устраняется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Е Понять и предсказать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Генетика и omics → иммунные эндотипы → биофизика → ИИ и модели → биомаркеры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Повышается точность выбора и проверки лечения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Ж Проверить необычное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Воспроизводимая физическая гипотеза → контролируемый опыт → независимая репликация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Сначала доказательство эффекта; лечебные заявления только после клиники</w:t>
            </w:r>
          </w:p>
        </w:tc>
      </w:tr>
    </w:tbl>
    <w:p>
      <w:pPr>
        <w:spacing w:after="0"/>
      </w:pPr>
    </w:p>
    <w:p>
      <w:pPr>
        <w:pStyle w:val="Heading2"/>
      </w:pPr>
      <w:r>
        <w:t>Почему нельзя поставить все направления в один ряд</w:t>
      </w:r>
    </w:p>
    <w:p>
      <w:pPr/>
      <w:r>
        <w:t>Для человека с длительным СД1 наиболее прямо к отказу от инсулина ведёт восстановление достаточной клеточной массы. Для человека до клинического дебюта важнее иммунная профилактика. Для ребёнка с недавним диагнозом ценность имеет сохранение остаточной секреции. Уровень готовности оценивается в пределах конкретной цели и популяции, а не по красоте технологии.</w:t>
      </w:r>
    </w:p>
    <w:p>
      <w:pPr/>
      <w:r>
        <w:t>При долгосрочном планировании следует сравнивать комбинации: источник клеток + способ защиты + место доставки + возможность контроля. Отдельная мембрана или иммунный препарат редко закрывает все четыре задачи.</w:t>
      </w:r>
    </w:p>
    <w:p>
      <w:pPr>
        <w:pStyle w:val="Heading1"/>
      </w:pPr>
      <w:r>
        <w:t>3 Что уже ближе всего к реальному результату</w:t>
      </w:r>
    </w:p>
    <w:p>
      <w:pPr>
        <w:pStyle w:val="Heading2"/>
      </w:pPr>
      <w:r>
        <w:t>01 Донорская поджелудочная железа</w:t>
      </w:r>
    </w:p>
    <w:p>
      <w:pPr/>
      <w:r>
        <w:t>I • трансплантология • П1 как клинический ориентир. Пересадка органа может восстановить секрецию инсулина. Это сложная операция с иммунной терапией; особенно важен контекст сочетанной трансплантации почки и поджелудочной. Для массового лечения СД1 ограничена донорским ресурсом и соотношением риска и пользы. Для центра ценна как доказательство возможности длительного восстановления функции, но не как простая масштабируемая платформа. [1]</w:t>
      </w:r>
    </w:p>
    <w:p>
      <w:pPr>
        <w:pStyle w:val="Heading2"/>
      </w:pPr>
      <w:r>
        <w:t>02 Донорские островки и Lantidra</w:t>
      </w:r>
    </w:p>
    <w:p>
      <w:pPr/>
      <w:r>
        <w:t>I • клеточная терапия • П1. Lantidra — донорские островки, а не клетки, выращенные из стволовых. FDA-инструкция предусматривает применение у определённых взрослых с повторными тяжёлыми гипогликемиями несмотря на интенсивное ведение и обучение, вместе с иммуносупрессией. Дефицит доноров, вариабельность клеточного материала и длительная иммунная терапия остаются барьерами. Наличие регистрации в США не означает универсальной доступности. [1–2]</w:t>
      </w:r>
    </w:p>
    <w:p>
      <w:pPr>
        <w:pStyle w:val="Heading2"/>
      </w:pPr>
      <w:r>
        <w:t>03 Zimislecel ранее VX 880</w:t>
      </w:r>
    </w:p>
    <w:p>
      <w:pPr/>
      <w:r>
        <w:t>II • Vertex • клетки из стволовых + иммуносупрессия • П1. В опубликованном в июне 2025 года срезе 10 из 12 участников, получивших полную дозу и имевших год наблюдения, не нуждались во внешнем инсулине к 12-му месяцу. У всех 12 достигнуты HbA1c &lt;7% и время в диапазоне &gt;70%. Это конкретная оценимая группа, не все когда-либо включённые пациенты. Компания сообщала о двух смертях в программе, расценённых как не связанные с самим zimislecel; это не отменяет оценки рисков всей лечебной схемы. [3]</w:t>
      </w:r>
    </w:p>
    <w:p>
      <w:pPr/>
      <w:r>
        <w:t>Текущая страница Vertex относит программу к фазе 1/2/3. Преимущество — потенциально воспроизводимое производство островков. Главный предел — необходимость противоотторжительной терапии. Объявленные ранее планы подачи документов не считаются доказательством состоявшейся регистрации или даты начала продаж. [4, 41]</w:t>
      </w:r>
    </w:p>
    <w:p>
      <w:pPr>
        <w:pStyle w:val="Heading2"/>
      </w:pPr>
      <w:r>
        <w:t>04 Донорские островки с тегопрубартом</w:t>
      </w:r>
    </w:p>
    <w:p>
      <w:pPr/>
      <w:r>
        <w:t>III • UChicago и Eledon • клеточная терапия + anti-CD40L • П1. В сообщении Eledon от 3 сентября 2026 года заявлена независимость от инсулина у всех 12 пролеченных участников, HbA1c &lt;7% и стабильная функция трансплантата при максимальном наблюдении до 22 месяцев. Это небольшая исследовательская серия, а не доказательство одинакового результата для любой группы пациентов. Указанные 22 месяца относятся к максимальному сроку, не ко всем участникам. [5]</w:t>
      </w:r>
    </w:p>
    <w:p>
      <w:pPr/>
      <w:r>
        <w:t>Компания подала IND для собственного регистрационного исследования островковой трансплантации. Поданная IND не равна одобрению препарата, а планы фазы III при пересадке почки не являются фазой III лечения СД1. [5, 42]</w:t>
      </w:r>
    </w:p>
    <w:p>
      <w:pPr>
        <w:pStyle w:val="Heading1"/>
      </w:pPr>
      <w:r>
        <w:t>4 Биоинженерия и доставка клеток</w:t>
      </w:r>
    </w:p>
    <w:p>
      <w:pPr>
        <w:pStyle w:val="Heading2"/>
      </w:pPr>
      <w:r>
        <w:t>05 Sernova Cell Pouch</w:t>
      </w:r>
    </w:p>
    <w:p>
      <w:pPr/>
      <w:r>
        <w:t>III • биоинженерия + донорские островки • П1. Имплант формирует место для размещения клеток и их сосудистого обеспечения. Это не автоматически иммунозащитная капсула: клиническая донорская программа использует иммуносупрессию. На странице компании сообщаются длительное выживание клеток и независимость от инсулина в когорте A. Для строгого сравнения необходимо разделить вклад импланта и возможных дополнительных введений островков. [9, 43]</w:t>
      </w:r>
    </w:p>
    <w:p>
      <w:pPr/>
      <w:r>
        <w:t>Обновление: 8 сентября 2026 года Sernova и Seraxis объявили соглашение о слиянии в BetaNova. Закрытие сделки ожидается позднее и не должно описываться как уже завершённое. Сообщение говорит о завершении лечения и наблюдения в исследовании Cell Pouch с донорскими островками; старые страницы сайта могут ещё называть его продолжающимся. [8]</w:t>
      </w:r>
    </w:p>
    <w:p>
      <w:pPr>
        <w:pStyle w:val="Heading2"/>
      </w:pPr>
      <w:r>
        <w:t>06 Encellin ENCRT и ENC 201 CED</w:t>
      </w:r>
    </w:p>
    <w:p>
      <w:pPr/>
      <w:r>
        <w:t>III • инкапсуляция • П1. Нанопористая мембрана должна пропускать нужные молекулы и обеспечивать работу помещённых внутрь клеток. В июльском сообщении 2026 года описаны семь взрослых, признаки приживления без фиброза и сосудистое окружение. Исследование фазы I оценивало прежде всего безопасность; оно не предназначалось для доказательства клинической эффективности. Данные не подтверждают массовую независимость от инсулина без иммуносупрессии. [11–12, 45]</w:t>
      </w:r>
    </w:p>
    <w:p>
      <w:pPr>
        <w:pStyle w:val="Heading2"/>
      </w:pPr>
      <w:r>
        <w:t>07 SR 02 и SR 03 компании Seraxis</w:t>
      </w:r>
    </w:p>
    <w:p>
      <w:pPr/>
      <w:r>
        <w:t>SR-02: переход к клинике; SR-03: IV • П1. В сентябрьском плане объединения SR-02 описан как островки из стволовых клеток с предполагаемым первым введением в новой программе в I квартале 2027 года; указан NCT07581197. Для генетически модифицированного SR-03 подача IND планируется на вторую половину 2027 года. Это планы разработчиков. Их нельзя подменять более ранними прогнозами или переносить успехи донорских островков на новые продукты. [8]</w:t>
      </w:r>
    </w:p>
    <w:p>
      <w:pPr>
        <w:pStyle w:val="Heading2"/>
      </w:pPr>
      <w:r>
        <w:t>08 Кислородные устройства и Beta O2</w:t>
      </w:r>
    </w:p>
    <w:p>
      <w:pPr/>
      <w:r>
        <w:t>IV для новых конструкций • биофизика + биоматериалы • П2. Цель — преодолеть гибель островков из-за нехватки кислорода внутри устройства. Опубликованы экспериментальные результаты улучшения жизнеспособности клеток при усилении кислородоснабжения. Ключевые вопросы — необходимость пополнения кислорода, размер системы, долговечность и безопасность. Историческая публикация не подтверждает текущую доступность конкретного изделия. [38]</w:t>
      </w:r>
    </w:p>
    <w:p>
      <w:pPr>
        <w:pStyle w:val="Heading2"/>
      </w:pPr>
      <w:r>
        <w:t>09 Сосудистое ложе и контроль фиброза</w:t>
      </w:r>
    </w:p>
    <w:p>
      <w:pPr/>
      <w:r>
        <w:t>III–V в зависимости от платформы • П1. Предварительная васкуляризация, гидрогели, архитектура пор, антифибротические покрытия и поддерживающие клетки решают практическую проблему приживления. Хорошая секреция в чашке не гарантирует достаточную доставку кислорода в теле. Работа с VEGF и эндотелиальными клетками показывает важность микроокружения; чрезмерное или неправильно организованное сосудообразование тоже требует контроля. [12, 47]</w:t>
      </w:r>
    </w:p>
    <w:p>
      <w:pPr>
        <w:pStyle w:val="Heading1"/>
      </w:pPr>
      <w:r>
        <w:t>5 Генетическая инженерия и источники клеток</w:t>
      </w:r>
    </w:p>
    <w:p>
      <w:pPr>
        <w:pStyle w:val="Heading2"/>
      </w:pPr>
      <w:r>
        <w:t>10 Sana UP421</w:t>
      </w:r>
    </w:p>
    <w:p>
      <w:pPr/>
      <w:r>
        <w:t>III • гипоиммунные донорские островки • П1. В августовском обновлении 2026 года Sana описывает одного пациента с выживанием и функцией клеток до 14 месяцев без иммуносупрессии, подтверждаемыми C-пептидом и реакцией на пищевую нагрузку. Это важное доказательство принципа иммунного уклонения. Оно не является доказательством полной независимости от инсулина: первичная задача и доза этой программы были другими. [10, 44]</w:t>
      </w:r>
    </w:p>
    <w:p>
      <w:pPr>
        <w:pStyle w:val="Heading2"/>
      </w:pPr>
      <w:r>
        <w:t>11 Sana SC451</w:t>
      </w:r>
    </w:p>
    <w:p>
      <w:pPr/>
      <w:r>
        <w:t>IV по подтверждённому сообщению от 10.08.2026 • П1. SC451 объединяет гипоиммунную технологию с островками из iPSC. Компания сообщала о подготовке токсикологических исследований, производства и подачи IND с возможным стартом фазы 1/2 в 2026 году. В проверенных материалах этого обзора не установлено, что первое введение уже состоялось. Результат UP421 нельзя автоматически считать результатом SC451. [10]</w:t>
      </w:r>
    </w:p>
    <w:p>
      <w:pPr>
        <w:pStyle w:val="Heading2"/>
      </w:pPr>
      <w:r>
        <w:t>12 CRISPR Therapeutics CTX211</w:t>
      </w:r>
    </w:p>
    <w:p>
      <w:pPr/>
      <w:r>
        <w:t>III по зарегистрированной ранней программе • П1. Подход сочетает генетически изменённые островковые клетки из стволовых с устройством доставки. Задачи включают иммунное уклонение и жизнеспособность клеток. Номер исследования — NCT05565248. Полный актуальный статус набора и финальные результаты не удалось подтвердить по доступному отображению реестра; программа включена как важная клиническая ветвь, а не как доказанное лечение. [13]</w:t>
      </w:r>
    </w:p>
    <w:p>
      <w:pPr>
        <w:pStyle w:val="Heading2"/>
      </w:pPr>
      <w:r>
        <w:t>13 Аутологичные iPSC и химическое перепрограммирование</w:t>
      </w:r>
    </w:p>
    <w:p>
      <w:pPr/>
      <w:r>
        <w:t>III • персонализированная клеточная терапия • П1/П2. В работе Wang и соавторов 2024 года описана независимость от инсулина после пересадки островков, полученных через химически индуцированные плюрипотентные клетки пациентки. Важно учитывать сопутствующую иммуносупрессию в клиническом контексте: этот случай не доказывает, что собственные перепрограммированные клетки неуязвимы для аутоиммунитета. Барьеры — индивидуальная стоимость, контроль генетической стабильности и опухолевого риска. [15]</w:t>
      </w:r>
    </w:p>
    <w:p>
      <w:pPr>
        <w:pStyle w:val="Heading2"/>
      </w:pPr>
      <w:r>
        <w:t>14 Ксенотрансплантация островков</w:t>
      </w:r>
    </w:p>
    <w:p>
      <w:pPr/>
      <w:r>
        <w:t>III для отдельных программ; IV–V для новых конструкций • П2. Свиньи могут дать более доступный источник островков. OPF-310 имеет клиническую программу NCT06575426; отдельная ветвь — генетическое изменение донорских животных и совместная иммунная защита. Проверяемые вопросы: созревание и дозозависимость клеток, межвидовой иммунный ответ, инфекционная безопасность и длительность функции. Единичный рассказ пациента не заменяет результаты исследования. [14]</w:t>
      </w:r>
    </w:p>
    <w:p>
      <w:pPr>
        <w:pStyle w:val="Heading2"/>
      </w:pPr>
      <w:r>
        <w:t>15 Контроль безопасности редактированных клеток</w:t>
      </w:r>
    </w:p>
    <w:p>
      <w:pPr/>
      <w:r>
        <w:t>IV–V • сквозная технология • П1. Удаление иммунных меток должно сочетаться с контролем нежелательного роста, геномных изменений и возможности уничтожить либо извлечь трансплантат. «Невидимость» для иммунитета — одновременно преимущество и потенциальный риск. Нужны проверка чистоты продукта, остаточных плюрипотентных клеток и управляемости. Это критерий отбора проектов, а не отдельное подтверждённое лечение.</w:t>
      </w:r>
    </w:p>
    <w:p>
      <w:pPr>
        <w:pStyle w:val="Heading1"/>
      </w:pPr>
      <w:r>
        <w:t>6 Иммунология и фармакология</w:t>
      </w:r>
    </w:p>
    <w:p>
      <w:pPr>
        <w:pStyle w:val="Heading2"/>
      </w:pPr>
      <w:r>
        <w:t>16 Теплизумаб</w:t>
      </w:r>
    </w:p>
    <w:p>
      <w:pPr/>
      <w:r>
        <w:t>I для конкретных показаний • anti-CD3 • П1 для раннего СД1. В ЕС Teizeild предназначен для задержки перехода от стадии 2 к клинической стадии 3. Кроме того, июньское сообщение Sanofi 2026 года указывает на ускоренное одобрение Tzield в США у детей 8–17 лет с недавно диагностированной стадией 3 для замедления снижения собственной выработки инсулина. Это сохранение функции, не восстановление уже утраченной клеточной массы при длительном СД1. Показания разных юрисдикций нельзя смешивать. [17–18]</w:t>
      </w:r>
    </w:p>
    <w:p>
      <w:pPr>
        <w:pStyle w:val="Heading2"/>
      </w:pPr>
      <w:r>
        <w:t>17 Тегопрубарт и блокада CD40L</w:t>
      </w:r>
    </w:p>
    <w:p>
      <w:pPr/>
      <w:r>
        <w:t>III в островковой трансплантации • П1. Препарат уменьшает иммунную активацию и защищает трансплантат; он не является заменителем островков. В описании исследовательского центра поддерживающие инфузии проводятся каждые три недели после начального режима. Корректная формулировка — «независимость от внешнего инсулина на фоне противоотторжительной терапии». [6–7]</w:t>
      </w:r>
    </w:p>
    <w:p>
      <w:pPr>
        <w:pStyle w:val="Heading2"/>
      </w:pPr>
      <w:r>
        <w:t>18 Барицитиниб и путь JAK</w:t>
      </w:r>
    </w:p>
    <w:p>
      <w:pPr/>
      <w:r>
        <w:t>III • фармакологическая иммуномодуляция • П2. Рандомизированное исследование BANDIT показало сохранение β-клеточной функции при недавно выявленном СД1. Это основание для дальнейших исследований, а не доказанная регенерация при многолетнем заболевании. Критичны длительность эффекта после прекращения терапии и баланс иммунных рисков. [19]</w:t>
      </w:r>
    </w:p>
    <w:p>
      <w:pPr>
        <w:pStyle w:val="Heading2"/>
      </w:pPr>
      <w:r>
        <w:t>19 Устекинумаб и путь IL 12 и IL 23</w:t>
      </w:r>
    </w:p>
    <w:p>
      <w:pPr/>
      <w:r>
        <w:t>III • иммунология • П2. Рандомизированная фаза II у подростков дала сигнал сохранения секреции. Мишень отличается от anti-CD3 и JAK, что делает направление интересным для сравнения эндотипов и комбинаций. При этом сохранение C-пептида не равнозначно отказу от инсулина. [20]</w:t>
      </w:r>
    </w:p>
    <w:p>
      <w:pPr>
        <w:pStyle w:val="Heading2"/>
      </w:pPr>
      <w:r>
        <w:t>20 Голимумаб и TNF</w:t>
      </w:r>
    </w:p>
    <w:p>
      <w:pPr/>
      <w:r>
        <w:t>III • иммунология • П2. Исследование у молодых пациентов с недавним дебютом показало сохранение функции β-клеток. Следующие вопросы — устойчивость результата, отбор пациентов и оправданность длительной системной терапии. Результаты других аутоиммунных показаний не заменяют доказательства при СД1. [21]</w:t>
      </w:r>
    </w:p>
    <w:p>
      <w:pPr>
        <w:pStyle w:val="Heading2"/>
      </w:pPr>
      <w:r>
        <w:t>21 Ритуксимаб и B клетки</w:t>
      </w:r>
    </w:p>
    <w:p>
      <w:pPr/>
      <w:r>
        <w:t>III • иммунология • П2. Уменьшение числа B-лимфоцитов изучалось для замедления потери секреции при дебюте. Подтверждён исследовательский сигнал, но иммунное вмешательство не формирует автоматически новые островки. Перспектива — обоснованные последовательные схемы с другими иммунными мишенями. [22]</w:t>
      </w:r>
    </w:p>
    <w:p>
      <w:pPr>
        <w:pStyle w:val="Heading2"/>
      </w:pPr>
      <w:r>
        <w:t>22 Абатацепт и костимуляция</w:t>
      </w:r>
    </w:p>
    <w:p>
      <w:pPr/>
      <w:r>
        <w:t>III с отрицательными результатами по отдельным целям • П2. В профилактическом исследовании у родственников со стадией 1 первичная цель задержки прогрессии не была достигнута статистически значимо. Поэтому направление нельзя описывать общим утверждением «доказанно предотвращает СД1». Различать нужно препарат, стадию болезни и конечную точку. [23]</w:t>
      </w:r>
    </w:p>
    <w:p>
      <w:pPr>
        <w:pStyle w:val="Heading2"/>
      </w:pPr>
      <w:r>
        <w:t>23 Низкие дозы ATG</w:t>
      </w:r>
    </w:p>
    <w:p>
      <w:pPr/>
      <w:r>
        <w:t>III • иммунная перестройка • П2. Есть клинические результаты сохранения C-пептида после недавнего дебюта. Цена вмешательства — воздействие на иммунную систему; это не готовое универсальное решение. Значение имеют доза, возраст, безопасность и остаточный резерв. [24]</w:t>
      </w:r>
    </w:p>
    <w:p>
      <w:pPr>
        <w:pStyle w:val="Heading1"/>
      </w:pPr>
      <w:r>
        <w:t>7 Толерантность и локальная защита</w:t>
      </w:r>
    </w:p>
    <w:p>
      <w:pPr>
        <w:pStyle w:val="Heading2"/>
      </w:pPr>
      <w:r>
        <w:t>24 Поликлональные регуляторные T клетки</w:t>
      </w:r>
    </w:p>
    <w:p>
      <w:pPr/>
      <w:r>
        <w:t>III • клеточная иммунология • П1/П2. Идея — усилить естественное подавление аутоиммунной реакции введением Treg. Ранние исследования подтвердили осуществимость; более поздняя рандомизированная программа показывает, почему безопасность и приживаемость клеток нельзя считать доказательством эффективности. Для каждого продукта нужны данные об устойчивом подавлении нужного иммунного ответа и сохранении секреции. [25–26]</w:t>
      </w:r>
    </w:p>
    <w:p>
      <w:pPr>
        <w:pStyle w:val="Heading2"/>
      </w:pPr>
      <w:r>
        <w:t>25 Антигенспецифические Treg и CAR Treg</w:t>
      </w:r>
    </w:p>
    <w:p>
      <w:pPr/>
      <w:r>
        <w:t>IV–V как класс для СД1 • П1. Цель — направить регуляторные клетки к антигену островка или трансплантата и избежать ненужного системного подавления. Это перспективная инженерная ветвь, но успех CAR-T в онкологии или других аутоиммунных болезнях не доказывает излечение СД1. В этом обзоре не подтверждена зрелая эффективная CAR-Treg терапия СД1 у людей.</w:t>
      </w:r>
    </w:p>
    <w:p>
      <w:pPr>
        <w:pStyle w:val="Heading2"/>
      </w:pPr>
      <w:r>
        <w:t>26 GAD65 и Diamyd ретогатеин</w:t>
      </w:r>
    </w:p>
    <w:p>
      <w:pPr/>
      <w:r>
        <w:t>X после фазы III • антигенспецифическая иммунотерапия • П3. DIAGNODE-3 не выполнило заранее заданные критерии продолжения. В июльском разборе 2026 года обсуждаются техника введения, сроки начала терапии и характеристики продукта, однако эти объяснения остаются поисковыми. Их нельзя выдавать за доказанную причину неудачи или за подтверждение эффективности в выбранной подгруппе. [27]</w:t>
      </w:r>
    </w:p>
    <w:p>
      <w:pPr>
        <w:pStyle w:val="Heading2"/>
      </w:pPr>
      <w:r>
        <w:t>27 Проинсулиновые пептиды и IMCY 0098</w:t>
      </w:r>
    </w:p>
    <w:p>
      <w:pPr/>
      <w:r>
        <w:t>III для IMCY-0098; IV–V для новых пептидов • П2. Изменённые антигенные пептиды должны перенаправить патологический иммунный ответ. IMPACT исследует биомаркеры и функцию β-клеток. Пептидная вакцина не означает вакцинацию от инфекционного заболевания и не заменяет инсулин. Любую локальную разработку проинсулинового пептида нужно оценивать по её собственной молекуле и данным; близость темы не доказывает идентичность продукта. [28, 39]</w:t>
      </w:r>
    </w:p>
    <w:p>
      <w:pPr>
        <w:pStyle w:val="Heading2"/>
      </w:pPr>
      <w:r>
        <w:t>28 Толерогенные наночастицы и CNP 103</w:t>
      </w:r>
    </w:p>
    <w:p>
      <w:pPr/>
      <w:r>
        <w:t>III по зарегистрированному испытанию • П2. Доставка антигена в контексте, который должен вызывать толерантность, а не иммунную атаку. CNP-103 зарегистрирован для подростков и взрослых 12–35 лет с недавно диагностированным СД1. Наличие протокола подтверждает исследовательскую программу, но не положительный исход. Для длительного СД1 остаётся отдельная задача восстановления клеточной массы. [29]</w:t>
      </w:r>
    </w:p>
    <w:p>
      <w:pPr>
        <w:pStyle w:val="Heading2"/>
      </w:pPr>
      <w:r>
        <w:t>29 iTolerance и Kadimastem iTOL 102</w:t>
      </w:r>
    </w:p>
    <w:p>
      <w:pPr/>
      <w:r>
        <w:t>IV по найденным подтверждённым данным • П1. Комбинация островков IsletRx со средством локального формирования иммунной толерантности iTOL-100. В сообщении о pre-IND встрече приведены результаты на животных. Встреча с FDA не равна разрешению лечить людей или клиническому доказательству отсутствия иммуносупрессии. [16]</w:t>
      </w:r>
    </w:p>
    <w:p>
      <w:pPr>
        <w:pStyle w:val="Heading2"/>
      </w:pPr>
      <w:r>
        <w:t>30 Другие способы создания толерантности</w:t>
      </w:r>
    </w:p>
    <w:p>
      <w:pPr/>
      <w:r>
        <w:t>III–V, неоднородный класс • П2. Низкодозный IL-2, толерогенные дендритные клетки, антигенные ДНК/РНК-конструкции, пероральный или назальный инсулин, инженерные микроорганизмы и локальная доставка иммунных сигналов образуют самостоятельные ветви поиска. Для них нельзя назначить одну общую фазу или заявить эффективность всего класса. В рамках этого обзора они включены как предмет научного скрининга; актуальная программа каждого продукта требует отдельного досье.</w:t>
      </w:r>
    </w:p>
    <w:p>
      <w:pPr>
        <w:pStyle w:val="Heading1"/>
      </w:pPr>
      <w:r>
        <w:t>8 Регенерация и защита собственных клеток</w:t>
      </w:r>
    </w:p>
    <w:p>
      <w:pPr>
        <w:pStyle w:val="Heading2"/>
      </w:pPr>
      <w:r>
        <w:t>31 Верапамил и клеточный стресс</w:t>
      </w:r>
    </w:p>
    <w:p>
      <w:pPr/>
      <w:r>
        <w:t>III для сохранения функции при СД1 • П2. В рандомизированном исследовании у детей и подростков с недавним диагнозом верапамил частично сохранял секрецию. Это клинически изучаемая защита остаточных клеток; она не доказывает восстановление разрушенной поджелудочной при многолетнем СД1. Сердечно-сосудистое действие препарата требует отдельной оценки. [30]</w:t>
      </w:r>
    </w:p>
    <w:p>
      <w:pPr>
        <w:pStyle w:val="Heading2"/>
      </w:pPr>
      <w:r>
        <w:t>32 Ингибиторы DYRK1A и агонисты GLP 1</w:t>
      </w:r>
    </w:p>
    <w:p>
      <w:pPr/>
      <w:r>
        <w:t>IV • фармакологическая регенерация • П1. Harmine и exendin-4 увеличивали массу человеческих β-клеток, пересаженных мышам. Это сильный доклинический результат, но «человеческие клетки у мыши» не означает лечение человека. Для перевода в клинику нужны избирательность, безопасный контроль пролиферации и защита новых клеток от аутоиммунитета. [31]</w:t>
      </w:r>
    </w:p>
    <w:p>
      <w:pPr>
        <w:pStyle w:val="Heading2"/>
      </w:pPr>
      <w:r>
        <w:t>33 Ингибирование менина и BMF 219</w:t>
      </w:r>
    </w:p>
    <w:p>
      <w:pPr/>
      <w:r>
        <w:t>III по зарегистрированной фазе II • П2 с повышенной неопределённостью. BMF-219, также известный как icovamenib, исследуется как способ повлиять на β-клеточную массу и функцию; для СД1 указан NCT06152042. Текущий операционный статус и убедительный клинический эффект при СД1 в этом обзоре не установлены. Не переносить результаты при СД2 на аутоиммунный СД1. [32]</w:t>
      </w:r>
    </w:p>
    <w:p>
      <w:pPr>
        <w:pStyle w:val="Heading2"/>
      </w:pPr>
      <w:r>
        <w:t>34 Превращение других клеток в β клетки</w:t>
      </w:r>
    </w:p>
    <w:p>
      <w:pPr/>
      <w:r>
        <w:t>IV–V • регенерация и генетическая инженерия • П1/П2. Альфа-клетки, клетки протоков, ацинарные и другие клетки рассматриваются как источник новых инсулин-секретирующих клеток. Центральные барьеры: полноценная глюкозозависимая секреция, стабильность нового состояния, доставка факторов и защита от иммунитета. Эта ветвь включена как научная платформа; готового клинического решения в найденном наборе источников нет.</w:t>
      </w:r>
    </w:p>
    <w:p>
      <w:pPr>
        <w:pStyle w:val="Heading2"/>
      </w:pPr>
      <w:r>
        <w:t>35 Эпигенетика и микроРНК</w:t>
      </w:r>
    </w:p>
    <w:p>
      <w:pPr/>
      <w:r>
        <w:t>IV–V • молекулярная биология • П2. Регуляция экспрессии генов может влиять на созревание, стресс и секрецию β-клеток. Например, экспериментально показана роль miR-375 в секреции инсулина. От обнаружения регулятора до терапии большой путь: доставка в нужные клетки, отсутствие нежелательных эффектов и доказательство устойчивого результата. [46]</w:t>
      </w:r>
    </w:p>
    <w:p>
      <w:pPr>
        <w:pStyle w:val="Heading2"/>
      </w:pPr>
      <w:r>
        <w:t>36 Мезенхимальные клетки и внеклеточные везикулы</w:t>
      </w:r>
    </w:p>
    <w:p>
      <w:pPr/>
      <w:r>
        <w:t>Ранние исследовательские подходы • П3. Изучаются преимущественно иммуномодуляция и поддержка тканей. Их нельзя смешивать с полноценными островками, полученными из ESC/iPSC: слово «стволовые» не означает одинаковый механизм. Для конкретной разработки нужны стандартизованный состав продукта, контрольная группа и доказанная функция; универсальный лечебный эффект этого класса здесь не подтверждён.</w:t>
      </w:r>
    </w:p>
    <w:p>
      <w:pPr>
        <w:pStyle w:val="Heading2"/>
      </w:pPr>
      <w:r>
        <w:t>37 Органоиды и тканевая инженерия</w:t>
      </w:r>
    </w:p>
    <w:p>
      <w:pPr/>
      <w:r>
        <w:t>IV–V • П1 как исследовательская платформа. Органоиды, совместное культивирование с сосудами и иммунными клетками, матриксы и биопечать помогают изучать островок как тканевую систему. Для имплантации критичны масштаб, питание, воспроизводимость и безопасность. Органоид может быть полезной моделью для скрининга, даже если пока непригоден как готовый трансплантат.</w:t>
      </w:r>
    </w:p>
    <w:p>
      <w:pPr>
        <w:pStyle w:val="Heading1"/>
      </w:pPr>
      <w:r>
        <w:t>9 Другие биологические гипотезы</w:t>
      </w:r>
    </w:p>
    <w:p>
      <w:pPr>
        <w:pStyle w:val="Heading2"/>
      </w:pPr>
      <w:r>
        <w:t>38 Противовирусная терапия</w:t>
      </w:r>
    </w:p>
    <w:p>
      <w:pPr/>
      <w:r>
        <w:t>III • П2. В программе DiViD исследовалось противовирусное воздействие при недавнем дебюте; опубликовано трёхлетнее наблюдение. Направление проверяет роль вирусного компонента у части пациентов. Оно не означает, что любой СД1 является сохраняющейся инфекцией или что противовирусный препарат восстановит давно утраченные островки. Для решения о продолжении важны длительный результат и выявление нужной подгруппы. [33]</w:t>
      </w:r>
    </w:p>
    <w:p>
      <w:pPr>
        <w:pStyle w:val="Heading2"/>
      </w:pPr>
      <w:r>
        <w:t>39 Вакцины против возможных вирусных триггеров</w:t>
      </w:r>
    </w:p>
    <w:p>
      <w:pPr/>
      <w:r>
        <w:t>Исследовательская профилактическая ветвь • П2/П3. Вакцины против энтеровирусов, включая вирусы Коксаки B, имеют иную задачу, чем GAD или проинсулиновая иммунотерапия: предотвратить возможный инфекционный триггер. Иммуногенность против вируса ещё не доказывает уменьшение частоты СД1. Это направление для долгосрочной профилактики, не восстановления клеток при установленном заболевании.</w:t>
      </w:r>
    </w:p>
    <w:p>
      <w:pPr>
        <w:pStyle w:val="Heading2"/>
      </w:pPr>
      <w:r>
        <w:t>40 BCG и иммунометаболическая перестройка</w:t>
      </w:r>
    </w:p>
    <w:p>
      <w:pPr/>
      <w:r>
        <w:t>III, недостаточно для признанного лечения СД1 • П3. Есть работы о длительном изменении гликемии после BCG. Их нельзя превращать в обещание независимости от инсулина или автоматической регенерации. Для приоритизации необходимы независимая репликация, достаточные выборки, прозрачные конечные точки и оценка фоновой терапии. [34]</w:t>
      </w:r>
    </w:p>
    <w:p>
      <w:pPr>
        <w:pStyle w:val="Heading2"/>
      </w:pPr>
      <w:r>
        <w:t>41 Микробиом и метаболиты</w:t>
      </w:r>
    </w:p>
    <w:p>
      <w:pPr/>
      <w:r>
        <w:t>Исследовательская ветвь от механистических работ до небольших клинических испытаний • П3. Трансплантация микробиоты, диетические субстраты и бактериальные метаболиты изучаются в контексте иммунной регуляции. Связь состава микробиома с СД1 не доказывает причинность. Для карты центра приоритетны исследования с заранее заданной метаболической конечной точкой; изменение микробного состава само по себе не является лечебным успехом.</w:t>
      </w:r>
    </w:p>
    <w:p>
      <w:pPr>
        <w:pStyle w:val="Heading2"/>
      </w:pPr>
      <w:r>
        <w:t>42 Перезапуск иммунной системы с ауто ТГСК</w:t>
      </w:r>
    </w:p>
    <w:p>
      <w:pPr/>
      <w:r>
        <w:t>III • клинически исследовавшийся высокорисковый подход • П3. В публикациях при недавнем диагнозе описана независимость от инсулина после аутологичной трансплантации гемопоэтических клеток с иммунным кондиционированием. Это не пересадка новых β-клеток. Риски кондиционирования, инфекций и поздних осложнений принципиальны; результаты при дебюте не переносятся на длительный СД1. [35]</w:t>
      </w:r>
    </w:p>
    <w:p>
      <w:pPr>
        <w:pStyle w:val="Heading2"/>
      </w:pPr>
      <w:r>
        <w:t>43 Смешанный химеризм и иммунная толерантность трансплантата</w:t>
      </w:r>
    </w:p>
    <w:p>
      <w:pPr/>
      <w:r>
        <w:t>IV–V для широкого решения СД1 • П2. Идея — добиться устойчивого принятия донорской ткани через изменение иммунной системы. Возможная ценность велика, но нуждается в сопоставлении с рисками кондиционирования и иммунными осложнениями. Успех пересадки другого органа не является готовым доказательством для островковой программы.</w:t>
      </w:r>
    </w:p>
    <w:p>
      <w:pPr>
        <w:pStyle w:val="Heading2"/>
      </w:pPr>
      <w:r>
        <w:t>44 Комбинированная терапия</w:t>
      </w:r>
    </w:p>
    <w:p>
      <w:pPr/>
      <w:r>
        <w:t>Готовность равна готовности конкретной комбинации • П1. Сохранение или добавление клеток сочетают с иммунной защитой и поддержкой приживления. Два отдельно перспективных компонента не создают автоматически эффективную схему: их взаимодействие, токсичность и клиническая ценность проверяются заново. Для центра это важнее простого поиска единственной «главной молекулы».</w:t>
      </w:r>
    </w:p>
    <w:p>
      <w:pPr>
        <w:pStyle w:val="Heading1"/>
      </w:pPr>
      <w:r>
        <w:t>10 Биофизика и необычные проверяемые подходы</w:t>
      </w:r>
    </w:p>
    <w:p>
      <w:pPr>
        <w:pStyle w:val="Heading2"/>
      </w:pPr>
      <w:r>
        <w:t>45 Электрическое управление инженерными клетками</w:t>
      </w:r>
    </w:p>
    <w:p>
      <w:pPr/>
      <w:r>
        <w:t>V • синтетическая биология • П2/П3. В работе Huang и соавторов показан интерфейс управления экспрессией генов постоянным током; модельные инженерные клетки использовались для регулируемой продукции инсулина. Это физически определённая система «сигнал — клеточный переключатель — продукт», а не воздействие на абстрактное поле болезни. Пока требуется доказать долговременную работу, безопасность и применимость у людей. [36]</w:t>
      </w:r>
    </w:p>
    <w:p>
      <w:pPr>
        <w:pStyle w:val="Heading2"/>
      </w:pPr>
      <w:r>
        <w:t>46 Радиочастотное и магнитное управление</w:t>
      </w:r>
    </w:p>
    <w:p>
      <w:pPr/>
      <w:r>
        <w:t>V • нанобиотехнологии • П3. В работе Stanley и соавторов нагрев магнитных наночастиц радиоволнами использовали для управления продукцией инсулина и глюкозой у мышей. Реальны физический носитель, параметры воздействия и биологическая мишень. Это не доказательство, что внешнее облучение без специально созданной клеточной системы устраняет СД1. [37]</w:t>
      </w:r>
    </w:p>
    <w:p>
      <w:pPr>
        <w:pStyle w:val="Heading2"/>
      </w:pPr>
      <w:r>
        <w:t>47 Оптогенетика и световые переключатели</w:t>
      </w:r>
    </w:p>
    <w:p>
      <w:pPr/>
      <w:r>
        <w:t>V • синтетическая биология • П3. Свет может использоваться как управляющий сигнал для специально модифицированных клеток. Для терапии нужны доставка света к мишени, контроль секреции, отсутствие перегрева и иммунная защита. В обзоре это поисковая инженерная ветвь; подтверждённого клинического решения СД1 не установлено.</w:t>
      </w:r>
    </w:p>
    <w:p>
      <w:pPr>
        <w:pStyle w:val="Heading2"/>
      </w:pPr>
      <w:r>
        <w:t>48 Ультразвук и нейромодуляция</w:t>
      </w:r>
    </w:p>
    <w:p>
      <w:pPr/>
      <w:r>
        <w:t>V применительно к радикальному лечению СД1 • П3. Нервная регуляция и физическое воздействие могут влиять на секрецию и обмен веществ. Но улучшение гликемии в модели инсулинорезистентности не доказывает восстановления β-клеток при аутоиммунном диабете. Нужны исследования именно соответствующей модели СД1 и независимое подтверждение механизма.</w:t>
      </w:r>
    </w:p>
    <w:p>
      <w:pPr>
        <w:pStyle w:val="Heading2"/>
      </w:pPr>
      <w:r>
        <w:t>49 Фотобиомодуляция и низкоинтенсивные лазеры</w:t>
      </w:r>
    </w:p>
    <w:p>
      <w:pPr/>
      <w:r>
        <w:t>V либо VI в зависимости от конкретного утверждения • П3/П0. Лазер может иметь измеряемое действие на ткань, однако заживление раны или изменение локального воспаления не означает устранение инсулинодефицита. Для заявления о лечении СД1 нужны доказательства восстановления секреции и контроля аутоиммунитета. Таких клинических доказательств в проверенных материалах обзора не установлено.</w:t>
      </w:r>
    </w:p>
    <w:p>
      <w:pPr>
        <w:pStyle w:val="Heading2"/>
      </w:pPr>
      <w:r>
        <w:t>50 Волновая генетика биорезонанс и биоэнергетика</w:t>
      </w:r>
    </w:p>
    <w:p>
      <w:pPr/>
      <w:r>
        <w:t>VI • П0. Заявления о «перезаписи информации диабета», «частотах болезни» или восстановлении органа переносом волнового образца не получили здесь подтверждения в виде воспроизводимого клинического доказательства лечения СД1. Ссылка на советскую историю, патент, звание автора или отзыв пациента не заменяет эксперимент.</w:t>
      </w:r>
    </w:p>
    <w:p>
      <w:pPr/>
      <w:r>
        <w:t>Открытость к проверке сохраняется: автор гипотезы должен определить измеряемое воздействие, механизм, ожидаемый эффект и условия, при которых гипотеза будет признана неверной. Затем необходимы контролируемый слепой эксперимент и независимое повторение. До этого направление находится вне лечебного портфеля; назначать ему срок внедрения или вероятность излечения нельзя.</w:t>
      </w:r>
    </w:p>
    <w:p>
      <w:pPr>
        <w:pStyle w:val="Heading1"/>
      </w:pPr>
      <w:r>
        <w:t>11 Биоинформатика и методы проверки</w:t>
      </w:r>
    </w:p>
    <w:p>
      <w:pPr>
        <w:pStyle w:val="Heading2"/>
      </w:pPr>
      <w:r>
        <w:t>51 Биоинформатика и omics</w:t>
      </w:r>
    </w:p>
    <w:p>
      <w:pPr/>
      <w:r>
        <w:t>М • П1. Одноклеточная транскриптомика, пространственные методы, протеомика и анализ иммунных репертуаров помогают находить мишени и различать подтипы болезни. Это полноценная наука, а не экзотическая нижняя ступень. Для SP Science возможный продукт — воспроизводимый анализ открытых данных с последующей экспериментальной проверкой предсказаний.</w:t>
      </w:r>
    </w:p>
    <w:p>
      <w:pPr>
        <w:pStyle w:val="Heading2"/>
      </w:pPr>
      <w:r>
        <w:t>52 Биофизика островка</w:t>
      </w:r>
    </w:p>
    <w:p>
      <w:pPr/>
      <w:r>
        <w:t>М • П1. Диффузия кислорода, перенос глюкозы и инсулина, механика мембран, электрическая активность β-клеток и кровоснабжение непосредственно определяют качество импланта. Измеряемые физические модели полезны уже сегодня; их нельзя смешивать с недоказанными «энергетическими полями болезни». [12, 38, 47]</w:t>
      </w:r>
    </w:p>
    <w:p>
      <w:pPr>
        <w:pStyle w:val="Heading2"/>
      </w:pPr>
      <w:r>
        <w:t>53 ИИ и математические модели</w:t>
      </w:r>
    </w:p>
    <w:p>
      <w:pPr/>
      <w:r>
        <w:t>М • П1/П2. Применения: поиск кандидатов, проектирование белков, анализ клеточных данных, прогноз ответа и оптимизация производства. Докинг, высокий компьютерный рейтинг молекулы или красивый цифровой двойник не доказывают лечебный эффект. Выход модели должен проверяться на независимых данных и затем в биологическом эксперименте.</w:t>
      </w:r>
    </w:p>
    <w:p>
      <w:pPr>
        <w:pStyle w:val="Heading2"/>
      </w:pPr>
      <w:r>
        <w:t>54 Биомаркеры и отбор пациентов</w:t>
      </w:r>
    </w:p>
    <w:p>
      <w:pPr/>
      <w:r>
        <w:t>М • П1. Аутоантитела, HLA, C-пептид, иммунные признаки, CGM и клиническая история помогают выбирать цель вмешательства. Для антигенной терапии особенно важно не искать «эффект вообще», а заранее определить популяцию. Улучшение лабораторного маркера не заменяет заранее оговорённый клинический исход.</w:t>
      </w:r>
    </w:p>
    <w:p>
      <w:pPr>
        <w:pStyle w:val="Heading2"/>
      </w:pPr>
      <w:r>
        <w:t>Какие доказательства поднимают проект выше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02"/>
        <w:gridCol w:w="3816"/>
        <w:gridCol w:w="4075"/>
      </w:tblGrid>
      <w:tr>
        <w:trPr>
          <w:cantSplit/>
          <w:tblHeader/>
        </w:trPr>
        <w:tc>
          <w:tcPr>
            <w:tcW w:type="dxa" w:w="2102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/>
                <w:color w:val="FFFFFF"/>
                <w:sz w:val="18"/>
              </w:rPr>
              <w:t>Ступень проверки</w:t>
            </w:r>
          </w:p>
        </w:tc>
        <w:tc>
          <w:tcPr>
            <w:tcW w:type="dxa" w:w="3816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/>
                <w:color w:val="FFFFFF"/>
                <w:sz w:val="18"/>
              </w:rPr>
              <w:t>Что нужно показать</w:t>
            </w:r>
          </w:p>
        </w:tc>
        <w:tc>
          <w:tcPr>
            <w:tcW w:type="dxa" w:w="4075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/>
                <w:color w:val="FFFFFF"/>
                <w:sz w:val="18"/>
              </w:rPr>
              <w:t>Чего недостаточно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Клетки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Функция, жизнеспособность, состав, специфичность эффекта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Рост одного маркера без функции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Животные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Воспроизводимый эффект, контрольная группа, релевантная модель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Единственный удачный опыт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Первые люди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Безопасность, объективный сигнал, описание всей схемы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Интервью одного пациента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Подтверждающая клиника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Предусмотренные протоколом исходы и достаточное наблюдение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Постфактум выбранная удачная подгруппа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Внедрение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Производство, качество, логистика, регуляторное решение и доступ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Патент, IND, пресс-релиз о будущих планах</w:t>
            </w:r>
          </w:p>
        </w:tc>
      </w:tr>
    </w:tbl>
    <w:p>
      <w:pPr>
        <w:spacing w:after="0"/>
      </w:pPr>
    </w:p>
    <w:p>
      <w:pPr/>
      <w:r>
        <w:t>Модели нельзя подменять. Стрептозотоциновая или аллоксановая модель прежде всего создаёт повреждение β-клеток; она не воспроизводит весь аутоиммунный процесс человека. Нормализация гликемии в такой модели не доказывает иммунную толерантность. Для разных вопросов нужны разные модели: аутоиммунные, трансплантационные, человеческие островки и системы с иммунными клетками. Это методический критерий оценки, не инструкция по проведению опытов.</w:t>
      </w:r>
    </w:p>
    <w:p>
      <w:pPr>
        <w:pStyle w:val="Heading1"/>
      </w:pPr>
      <w:r>
        <w:t>12 Смежные исследования и границы излечения</w:t>
      </w:r>
    </w:p>
    <w:p>
      <w:pPr>
        <w:pStyle w:val="Heading2"/>
      </w:pPr>
      <w:r>
        <w:t>55 Автоматическая подача инсулина и CGM</w:t>
      </w:r>
    </w:p>
    <w:p>
      <w:pPr/>
      <w:r>
        <w:t>I для ряда систем • инженерия и алгоритмы. Помпы, сенсоры, гибридный и более автоматизированный замкнутый контур дают практический результат уже сейчас. Их развитие уменьшает гипогликемии и нагрузку пациента, но сохраняет зависимость от внешнего инсулина. Даже лучший контроль глюкозы нельзя автоматически считать сохранением β-клеток: это отдельная конечная точка исследования. [40]</w:t>
      </w:r>
    </w:p>
    <w:p>
      <w:pPr>
        <w:pStyle w:val="Heading2"/>
      </w:pPr>
      <w:r>
        <w:t>56 Новые инсулины и способы доставки</w:t>
      </w:r>
    </w:p>
    <w:p>
      <w:pPr/>
      <w:r>
        <w:t>I–V по конкретному продукту. Ультрабыстрые, ингаляционные, пероральные и глюкозочувствительные конструкции находятся на разных ступенях. Регистрация одного способа введения не переносится на весь класс. «Умный» инсулин потенциально уменьшает необходимость постоянных решений, но сам по себе не устраняет аутоиммунитет.</w:t>
      </w:r>
    </w:p>
    <w:p>
      <w:pPr>
        <w:pStyle w:val="Heading2"/>
      </w:pPr>
      <w:r>
        <w:t>57 Вспомогательные метаболические препараты</w:t>
      </w:r>
    </w:p>
    <w:p>
      <w:pPr/>
      <w:r>
        <w:t>Разная готовность и разные показания. Агонисты GLP-1, амилиновые подходы, вмешательства в глюкагоновый путь, SGLT и другие средства исследуют для контроля, снижения дозы инсулина или воздействия на дополнительные риски. Их нельзя включать в раздел «излечение» на основании снижения HbA1c. Для СД1 особенно важны специфические риски, включая кетоацидоз у отдельных классов.</w:t>
      </w:r>
    </w:p>
    <w:p>
      <w:pPr>
        <w:pStyle w:val="Heading2"/>
      </w:pPr>
      <w:r>
        <w:t>58 Осложнения качество жизни и доступность</w:t>
      </w:r>
    </w:p>
    <w:p>
      <w:pPr/>
      <w:r>
        <w:t>Исследования почек, глаз, сосудов, нервной системы, психического здоровья, обучения и доступности терапии образуют большие самостоятельные области. Они необходимы для полноценной картины СД1, но детальный каталог этих испытаний находится за пределами данного документа, сфокусированного на восстановлении функции и изменении течения болезни.</w:t>
      </w:r>
    </w:p>
    <w:p>
      <w:pPr>
        <w:pStyle w:val="Heading1"/>
      </w:pPr>
      <w:r>
        <w:t>13 Приоритеты для научного центра</w:t>
      </w:r>
    </w:p>
    <w:p>
      <w:pPr/>
      <w:r>
        <w:t>Ниже предложена последовательность научной проработки, а не обещание результата и не изменение утверждённого бюджета.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02"/>
        <w:gridCol w:w="3816"/>
        <w:gridCol w:w="4075"/>
      </w:tblGrid>
      <w:tr>
        <w:trPr>
          <w:cantSplit/>
          <w:tblHeader/>
        </w:trPr>
        <w:tc>
          <w:tcPr>
            <w:tcW w:type="dxa" w:w="2102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/>
                <w:color w:val="FFFFFF"/>
                <w:sz w:val="18"/>
              </w:rPr>
              <w:t>Очерёдность</w:t>
            </w:r>
          </w:p>
        </w:tc>
        <w:tc>
          <w:tcPr>
            <w:tcW w:type="dxa" w:w="3816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/>
                <w:color w:val="FFFFFF"/>
                <w:sz w:val="18"/>
              </w:rPr>
              <w:t>Что включить</w:t>
            </w:r>
          </w:p>
        </w:tc>
        <w:tc>
          <w:tcPr>
            <w:tcW w:type="dxa" w:w="4075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/>
                <w:color w:val="FFFFFF"/>
                <w:sz w:val="18"/>
              </w:rPr>
              <w:t>Почему это важно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1 Клинические ориентиры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Zimislecel; донорские островки с тегопрубартом; Cell Pouch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Понять условия уже достигнутой независимости от инсулина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2 Защита без хронической системной терапии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UP421 и SC451; CTX211; Encellin; iTOL-102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Главный барьер расширения клеточного лечения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3 Собственная исследовательская ниша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Локальная иммунная защита; жизнеспособность и кислород; стандартизация моделей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Выделить проверяемую задачу, а не пытаться воспроизвести весь продукт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4 Сохранение и регенерация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Ранние иммунные вмешательства; DYRK1A; клеточный стресс; обоснованные комбинации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Вторая линия решения, особенно при сохранённом резерве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5 Сквозная аналитика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Биоинформатика, биомаркеры, контроль качества данных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Обеспечить выбор мишеней и корректную оценку результатов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6 Дальние гипотезы</w:t>
            </w:r>
          </w:p>
        </w:tc>
        <w:tc>
          <w:tcPr>
            <w:tcW w:type="dxa" w:w="3816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Электрические, световые и иные воспроизводимые клеточные системы</w:t>
            </w:r>
          </w:p>
        </w:tc>
        <w:tc>
          <w:tcPr>
            <w:tcW w:type="dxa" w:w="4075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Небольшой поисковый портфель с чётким критерием остановки</w:t>
            </w:r>
          </w:p>
        </w:tc>
      </w:tr>
      <w:tr>
        <w:trPr>
          <w:cantSplit/>
        </w:trPr>
        <w:tc>
          <w:tcPr>
            <w:tcW w:type="dxa" w:w="210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Вне лечебного портфеля</w:t>
            </w:r>
          </w:p>
        </w:tc>
        <w:tc>
          <w:tcPr>
            <w:tcW w:type="dxa" w:w="3816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Непроверенные волновые и биоэнергетические заявления</w:t>
            </w:r>
          </w:p>
        </w:tc>
        <w:tc>
          <w:tcPr>
            <w:tcW w:type="dxa" w:w="4075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Сначала верификация, затем решение о научной ценности</w:t>
            </w:r>
          </w:p>
        </w:tc>
      </w:tr>
    </w:tbl>
    <w:p>
      <w:pPr>
        <w:spacing w:after="0"/>
      </w:pPr>
    </w:p>
    <w:p>
      <w:pPr>
        <w:pStyle w:val="Heading2"/>
      </w:pPr>
      <w:r>
        <w:t>Переход от карты к выбору проектов</w:t>
      </w:r>
    </w:p>
    <w:p>
      <w:pPr/>
      <w:r>
        <w:t>Для каждого направления выбрать одну конкретную проблему, которую центр способен исследовать: например, сохранение жизнеспособности островков, локальное подавление иммунного ответа или анализ признаков ответа на терапию. Сравнивать проекты по воспроизводимости, доступу к материалам, компетенциям партнёра и возможности получить однозначный результат.</w:t>
      </w:r>
    </w:p>
    <w:p>
      <w:pPr/>
      <w:r>
        <w:t>Для реализации направлений отдельно подтверждаются лабораторная база, доступ к человеческим островкам и животным моделям, необходимые производственные возможности и договорённости с партнёрами. Научный приоритет сам по себе не означает готовности центра самостоятельно разрабатывать соответствующий продукт.</w:t>
      </w:r>
    </w:p>
    <w:p>
      <w:pPr>
        <w:pStyle w:val="Heading2"/>
      </w:pPr>
      <w:r>
        <w:t>Карточка проекта для внутреннего отбора</w:t>
      </w:r>
    </w:p>
    <w:p>
      <w:pPr/>
      <w:r>
        <w:t>Минимальные поля: продукт и владелец; цель; популяция и давность СД1; источник клеток; иммунная защита; место введения; фаза и статус; номер протокола; численность; срок наблюдения; независимость от инсулина; C-пептид; HbA1c и CGM; тяжёлые гипогликемии; серьёзные нежелательные явления; производство; источник и дата; нерешённый вопрос.</w:t>
      </w:r>
    </w:p>
    <w:p>
      <w:pPr/>
      <w:r>
        <w:t>Отдельно фиксировать, является ли результат публикацией, реестровой записью, конференционным тезисом или заявлением компании. Это предотвращает ситуацию, когда одинаково уверенно обсуждаются установленный клинический эффект и лишь намерение начать исследование.</w:t>
      </w:r>
    </w:p>
    <w:p>
      <w:pPr>
        <w:pStyle w:val="Heading1"/>
      </w:pPr>
      <w:r>
        <w:t>14 Сводная матрица ведущих программ</w:t>
      </w:r>
    </w:p>
    <w:p>
      <w:pPr/>
      <w:r>
        <w:t>Порядок преимущественно следует готовности к целевому результату. Знак «цель» означает замысел, а не достигнутое свойство. «Не подтверждено» не означает, что события не было; это граница данного обзора.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60"/>
        <w:gridCol w:w="1152"/>
        <w:gridCol w:w="3024"/>
        <w:gridCol w:w="3658"/>
      </w:tblGrid>
      <w:tr>
        <w:trPr>
          <w:cantSplit/>
          <w:tblHeader/>
        </w:trPr>
        <w:tc>
          <w:tcPr>
            <w:tcW w:type="dxa" w:w="2160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/>
                <w:color w:val="FFFFFF"/>
                <w:sz w:val="18"/>
              </w:rPr>
              <w:t>Программа</w:t>
            </w:r>
          </w:p>
        </w:tc>
        <w:tc>
          <w:tcPr>
            <w:tcW w:type="dxa" w:w="1152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/>
                <w:color w:val="FFFFFF"/>
                <w:sz w:val="18"/>
              </w:rPr>
              <w:t>Уровень</w:t>
            </w:r>
          </w:p>
        </w:tc>
        <w:tc>
          <w:tcPr>
            <w:tcW w:type="dxa" w:w="3024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/>
                <w:color w:val="FFFFFF"/>
                <w:sz w:val="18"/>
              </w:rPr>
              <w:t>Что подтверждено</w:t>
            </w:r>
          </w:p>
        </w:tc>
        <w:tc>
          <w:tcPr>
            <w:tcW w:type="dxa" w:w="3658"/>
            <w:vAlign w:val="center"/>
            <w:shd w:fill="17324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/>
                <w:color w:val="FFFFFF"/>
                <w:sz w:val="18"/>
              </w:rPr>
              <w:t>Основной незакрытый вопрос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Lantidra</w:t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I</w:t>
            </w:r>
          </w:p>
        </w:tc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Регистрация для определённых взрослых [2]</w:t>
            </w:r>
          </w:p>
        </w:tc>
        <w:tc>
          <w:tcPr>
            <w:tcW w:type="dxa" w:w="365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Доноры, риски иммуносупрессии, доступ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Теплизумаб</w:t>
            </w:r>
          </w:p>
        </w:tc>
        <w:tc>
          <w:tcPr>
            <w:tcW w:type="dxa" w:w="115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I</w:t>
            </w:r>
          </w:p>
        </w:tc>
        <w:tc>
          <w:tcPr>
            <w:tcW w:type="dxa" w:w="3024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Применение по определённым ранним показаниям [17–18]</w:t>
            </w:r>
          </w:p>
        </w:tc>
        <w:tc>
          <w:tcPr>
            <w:tcW w:type="dxa" w:w="3658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Сохранение, а не универсальная регенерация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Zimislecel</w:t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II</w:t>
            </w:r>
          </w:p>
        </w:tc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10/12 без инсулина в годовом срезе [3]</w:t>
            </w:r>
          </w:p>
        </w:tc>
        <w:tc>
          <w:tcPr>
            <w:tcW w:type="dxa" w:w="365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Иммуносупрессия; масштаб и регистрация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Тегопрубарт + островки</w:t>
            </w:r>
          </w:p>
        </w:tc>
        <w:tc>
          <w:tcPr>
            <w:tcW w:type="dxa" w:w="115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III</w:t>
            </w:r>
          </w:p>
        </w:tc>
        <w:tc>
          <w:tcPr>
            <w:tcW w:type="dxa" w:w="3024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Компания сообщает 12/12 без инсулина [5]</w:t>
            </w:r>
          </w:p>
        </w:tc>
        <w:tc>
          <w:tcPr>
            <w:tcW w:type="dxa" w:w="3658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Подтверждение в более широкой программе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Sernova Cell Pouch</w:t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III</w:t>
            </w:r>
          </w:p>
        </w:tc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Клиническая донорская программа [8–9]</w:t>
            </w:r>
          </w:p>
        </w:tc>
        <w:tc>
          <w:tcPr>
            <w:tcW w:type="dxa" w:w="365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Вклад устройства и переход к новым клеткам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Sana UP421</w:t>
            </w:r>
          </w:p>
        </w:tc>
        <w:tc>
          <w:tcPr>
            <w:tcW w:type="dxa" w:w="115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III</w:t>
            </w:r>
          </w:p>
        </w:tc>
        <w:tc>
          <w:tcPr>
            <w:tcW w:type="dxa" w:w="3024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Функция до 14 месяцев у 1 пациента [10]</w:t>
            </w:r>
          </w:p>
        </w:tc>
        <w:tc>
          <w:tcPr>
            <w:tcW w:type="dxa" w:w="3658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Полная доза, воспроизводимость, масштаб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Encellin ENCRT</w:t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III</w:t>
            </w:r>
          </w:p>
        </w:tc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Ранние данные у 7 участников [11]</w:t>
            </w:r>
          </w:p>
        </w:tc>
        <w:tc>
          <w:tcPr>
            <w:tcW w:type="dxa" w:w="365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Клиническая эффективность всей системы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CTX211</w:t>
            </w:r>
          </w:p>
        </w:tc>
        <w:tc>
          <w:tcPr>
            <w:tcW w:type="dxa" w:w="115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III с неполной актуализацией</w:t>
            </w:r>
          </w:p>
        </w:tc>
        <w:tc>
          <w:tcPr>
            <w:tcW w:type="dxa" w:w="3024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Зарегистрирована ранняя программа [13]</w:t>
            </w:r>
          </w:p>
        </w:tc>
        <w:tc>
          <w:tcPr>
            <w:tcW w:type="dxa" w:w="3658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Актуальный статус и результаты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Аутологичные CiPSC островки</w:t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III</w:t>
            </w:r>
          </w:p>
        </w:tc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Публикация клинического случая [15]</w:t>
            </w:r>
          </w:p>
        </w:tc>
        <w:tc>
          <w:tcPr>
            <w:tcW w:type="dxa" w:w="365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Иммунная защита и серийное производство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OPF-310</w:t>
            </w:r>
          </w:p>
        </w:tc>
        <w:tc>
          <w:tcPr>
            <w:tcW w:type="dxa" w:w="115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III с неполной актуализацией</w:t>
            </w:r>
          </w:p>
        </w:tc>
        <w:tc>
          <w:tcPr>
            <w:tcW w:type="dxa" w:w="3024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Зарегистрирована программа [14]</w:t>
            </w:r>
          </w:p>
        </w:tc>
        <w:tc>
          <w:tcPr>
            <w:tcW w:type="dxa" w:w="3658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Полные результаты и долговечность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SR-02</w:t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Переход к клинике</w:t>
            </w:r>
          </w:p>
        </w:tc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В новом плане введение в 2027 [8]</w:t>
            </w:r>
          </w:p>
        </w:tc>
        <w:tc>
          <w:tcPr>
            <w:tcW w:type="dxa" w:w="365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Первые данные именно этой программы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SC451</w:t>
            </w:r>
          </w:p>
        </w:tc>
        <w:tc>
          <w:tcPr>
            <w:tcW w:type="dxa" w:w="115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IV по августовскому срезу</w:t>
            </w:r>
          </w:p>
        </w:tc>
        <w:tc>
          <w:tcPr>
            <w:tcW w:type="dxa" w:w="3024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Подготовка IND и клиники [10]</w:t>
            </w:r>
          </w:p>
        </w:tc>
        <w:tc>
          <w:tcPr>
            <w:tcW w:type="dxa" w:w="3658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Начало введений не подтверждено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iTOL-102</w:t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IV</w:t>
            </w:r>
          </w:p>
        </w:tc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Доклиника и pre-IND взаимодействие [16]</w:t>
            </w:r>
          </w:p>
        </w:tc>
        <w:tc>
          <w:tcPr>
            <w:tcW w:type="dxa" w:w="365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Перенос локальной защиты в человека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DYRK1A + GLP-1</w:t>
            </w:r>
          </w:p>
        </w:tc>
        <w:tc>
          <w:tcPr>
            <w:tcW w:type="dxa" w:w="115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IV</w:t>
            </w:r>
          </w:p>
        </w:tc>
        <w:tc>
          <w:tcPr>
            <w:tcW w:type="dxa" w:w="3024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Рост человеческой клеточной массы у мышей [31]</w:t>
            </w:r>
          </w:p>
        </w:tc>
        <w:tc>
          <w:tcPr>
            <w:tcW w:type="dxa" w:w="3658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Безопасная регенерация при аутоиммунитете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Электрогенетические клетки</w:t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V</w:t>
            </w:r>
          </w:p>
        </w:tc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Экспериментальное управление [36]</w:t>
            </w:r>
          </w:p>
        </w:tc>
        <w:tc>
          <w:tcPr>
            <w:tcW w:type="dxa" w:w="365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Клиническая безопасность и долговечность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Diamyd DIAGNODE-3</w:t>
            </w:r>
          </w:p>
        </w:tc>
        <w:tc>
          <w:tcPr>
            <w:tcW w:type="dxa" w:w="1152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X</w:t>
            </w:r>
          </w:p>
        </w:tc>
        <w:tc>
          <w:tcPr>
            <w:tcW w:type="dxa" w:w="3024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Не выполнены критерии продолжения [27]</w:t>
            </w:r>
          </w:p>
        </w:tc>
        <w:tc>
          <w:tcPr>
            <w:tcW w:type="dxa" w:w="3658"/>
            <w:vAlign w:val="center"/>
            <w:shd w:fill="F1F5F8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Новая проверяемая программа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Волновая перезапись болезни</w:t>
            </w:r>
          </w:p>
        </w:tc>
        <w:tc>
          <w:tcPr>
            <w:tcW w:type="dxa" w:w="1152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  <w:jc w:val="center"/>
            </w:pPr>
            <w:r>
              <w:rPr>
                <w:b w:val="0"/>
                <w:color w:val="000000"/>
                <w:sz w:val="18"/>
              </w:rPr>
              <w:t>VI</w:t>
            </w:r>
          </w:p>
        </w:tc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Надёжный лечебный результат не установлен</w:t>
            </w:r>
          </w:p>
        </w:tc>
        <w:tc>
          <w:tcPr>
            <w:tcW w:type="dxa" w:w="365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20" w:line="259" w:lineRule="auto"/>
            </w:pPr>
            <w:r>
              <w:rPr>
                <w:b w:val="0"/>
                <w:color w:val="000000"/>
                <w:sz w:val="18"/>
              </w:rPr>
              <w:t>Сначала воспроизводимое доказательство</w:t>
            </w:r>
          </w:p>
        </w:tc>
      </w:tr>
    </w:tbl>
    <w:p>
      <w:pPr>
        <w:spacing w:after="0"/>
      </w:pPr>
    </w:p>
    <w:p>
      <w:pPr/>
      <w:r>
        <w:t>Общий вывод для выбора: наиболее обоснованная центральная линия SP Science — восстановление достаточной массы функциональных клеток с безопасной защитой. Биофизика и биоинформатика могут быть практическими инструментами этой работы. Экзотичность идеи сама по себе не является ни достоинством, ни основанием для отказа; решают качество проверки и воспроизводимость.</w:t>
      </w:r>
    </w:p>
    <w:p>
      <w:pPr>
        <w:pStyle w:val="Heading1"/>
      </w:pPr>
      <w:r>
        <w:t>Источники и проверка статусов</w:t>
      </w:r>
    </w:p>
    <w:p>
      <w:pPr/>
      <w:r>
        <w:t>Срез источников на 20 сентября 2026 года. Р — рецензируемая публикация; К — сообщение разработчика или исследовательского центра; Ре — реестр; О — регулятор или государственный научный институт. Ссылки активны. Дата работы важна: публикация доказывает проведённое исследование, но сама по себе не подтверждает набор пациентов сегодня.</w:t>
      </w:r>
    </w:p>
    <w:p>
      <w:pPr>
        <w:spacing w:after="100"/>
      </w:pPr>
      <w:hyperlink r:id="rId9">
        <w:r>
          <w:rPr>
            <w:color w:val="274D79"/>
          </w:rPr>
          <w:t>[1] О. NIDDK — Pancreatic Islet Transplantation</w:t>
        </w:r>
      </w:hyperlink>
    </w:p>
    <w:p>
      <w:pPr>
        <w:spacing w:after="100"/>
      </w:pPr>
      <w:hyperlink r:id="rId10">
        <w:r>
          <w:rPr>
            <w:color w:val="274D79"/>
          </w:rPr>
          <w:t>[2] О, 2023. FDA — Lantidra prescribing information</w:t>
        </w:r>
      </w:hyperlink>
    </w:p>
    <w:p>
      <w:pPr>
        <w:spacing w:after="100"/>
      </w:pPr>
      <w:hyperlink r:id="rId11">
        <w:r>
          <w:rPr>
            <w:color w:val="274D79"/>
          </w:rPr>
          <w:t>[3] К, 20.06.2025. Vertex — Zimislecel results at ADA</w:t>
        </w:r>
      </w:hyperlink>
    </w:p>
    <w:p>
      <w:pPr>
        <w:spacing w:after="100"/>
      </w:pPr>
      <w:hyperlink r:id="rId12">
        <w:r>
          <w:rPr>
            <w:color w:val="274D79"/>
          </w:rPr>
          <w:t>[4] К. Vertex — Current type 1 diabetes pipeline</w:t>
        </w:r>
      </w:hyperlink>
    </w:p>
    <w:p>
      <w:pPr>
        <w:spacing w:after="100"/>
      </w:pPr>
      <w:hyperlink r:id="rId13">
        <w:r>
          <w:rPr>
            <w:color w:val="274D79"/>
          </w:rPr>
          <w:t>[5] К, 03.09.2026. Eledon — Islet transplantation IND submission and 12 patient update</w:t>
        </w:r>
      </w:hyperlink>
    </w:p>
    <w:p>
      <w:pPr>
        <w:spacing w:after="100"/>
      </w:pPr>
      <w:hyperlink r:id="rId14">
        <w:r>
          <w:rPr>
            <w:color w:val="274D79"/>
          </w:rPr>
          <w:t>[6] К. Piotr Witkowski — Tegoprubart study patient information</w:t>
        </w:r>
      </w:hyperlink>
    </w:p>
    <w:p>
      <w:pPr>
        <w:spacing w:after="100"/>
      </w:pPr>
      <w:hyperlink r:id="rId15">
        <w:r>
          <w:rPr>
            <w:color w:val="274D79"/>
          </w:rPr>
          <w:t>[7] Конференционный материал, 2026. Wojcik et al. — Tegoprubart for Beta Cell Replacement Therapy</w:t>
        </w:r>
      </w:hyperlink>
    </w:p>
    <w:p>
      <w:pPr>
        <w:spacing w:after="100"/>
      </w:pPr>
      <w:hyperlink r:id="rId16">
        <w:r>
          <w:rPr>
            <w:color w:val="274D79"/>
          </w:rPr>
          <w:t>[8] К, 08.09.2026. Sernova — Merger agreement with Seraxis and updated development plans</w:t>
        </w:r>
      </w:hyperlink>
    </w:p>
    <w:p>
      <w:pPr>
        <w:spacing w:after="100"/>
      </w:pPr>
      <w:hyperlink r:id="rId17">
        <w:r>
          <w:rPr>
            <w:color w:val="274D79"/>
          </w:rPr>
          <w:t>[9] К. Sernova — Pipeline and Cell Pouch results</w:t>
        </w:r>
      </w:hyperlink>
    </w:p>
    <w:p>
      <w:pPr>
        <w:spacing w:after="100"/>
      </w:pPr>
      <w:hyperlink r:id="rId18">
        <w:r>
          <w:rPr>
            <w:color w:val="274D79"/>
          </w:rPr>
          <w:t>[10] К, 10.08.2026. Sana — UP421 14 month results and SC451 development update</w:t>
        </w:r>
      </w:hyperlink>
    </w:p>
    <w:p>
      <w:pPr>
        <w:spacing w:after="100"/>
      </w:pPr>
      <w:hyperlink r:id="rId19">
        <w:r>
          <w:rPr>
            <w:color w:val="274D79"/>
          </w:rPr>
          <w:t>[11] К, 08.07.2026. Encellin — Phase 1 progress and seven participant update</w:t>
        </w:r>
      </w:hyperlink>
    </w:p>
    <w:p>
      <w:pPr>
        <w:spacing w:after="100"/>
      </w:pPr>
      <w:hyperlink r:id="rId20">
        <w:r>
          <w:rPr>
            <w:color w:val="274D79"/>
          </w:rPr>
          <w:t>[12] К. Encellin — ENCRT membrane technology</w:t>
        </w:r>
      </w:hyperlink>
    </w:p>
    <w:p>
      <w:pPr>
        <w:spacing w:after="100"/>
      </w:pPr>
      <w:hyperlink r:id="rId21">
        <w:r>
          <w:rPr>
            <w:color w:val="274D79"/>
          </w:rPr>
          <w:t>[13] Ре; карточка требует полной актуализации. NCT05565248 — CTX211</w:t>
        </w:r>
      </w:hyperlink>
    </w:p>
    <w:p>
      <w:pPr>
        <w:spacing w:after="100"/>
      </w:pPr>
      <w:hyperlink r:id="rId22">
        <w:r>
          <w:rPr>
            <w:color w:val="274D79"/>
          </w:rPr>
          <w:t>[14] Ре; набор требует проверки. NCT06575426 — OPF-310 porcine islets</w:t>
        </w:r>
      </w:hyperlink>
    </w:p>
    <w:p>
      <w:pPr>
        <w:spacing w:after="100"/>
      </w:pPr>
      <w:hyperlink r:id="rId23">
        <w:r>
          <w:rPr>
            <w:color w:val="274D79"/>
          </w:rPr>
          <w:t>[15] Р, Cell, 2024. Wang et al. — Autologous chemically reprogrammed islets in a person with T1D</w:t>
        </w:r>
      </w:hyperlink>
    </w:p>
    <w:p>
      <w:pPr>
        <w:spacing w:after="100"/>
      </w:pPr>
      <w:hyperlink r:id="rId24">
        <w:r>
          <w:rPr>
            <w:color w:val="274D79"/>
          </w:rPr>
          <w:t>[16] К, 25.02.2025. iTolerance and Kadimastem — iTOL-102 pre-IND meeting and animal data</w:t>
        </w:r>
      </w:hyperlink>
    </w:p>
    <w:p>
      <w:pPr>
        <w:spacing w:after="100"/>
      </w:pPr>
      <w:hyperlink r:id="rId25">
        <w:r>
          <w:rPr>
            <w:color w:val="274D79"/>
          </w:rPr>
          <w:t>[17] О. EMA — Teizeild product information and assessment</w:t>
        </w:r>
      </w:hyperlink>
    </w:p>
    <w:p>
      <w:pPr>
        <w:spacing w:after="100"/>
      </w:pPr>
      <w:hyperlink r:id="rId26">
        <w:r>
          <w:rPr>
            <w:color w:val="274D79"/>
          </w:rPr>
          <w:t>[18] К, 12.06.2026. Sanofi — Tzield accelerated approval for recent stage 3 T1D in ages 8 to 17</w:t>
        </w:r>
      </w:hyperlink>
    </w:p>
    <w:p>
      <w:pPr>
        <w:spacing w:after="100"/>
      </w:pPr>
      <w:hyperlink r:id="rId27">
        <w:r>
          <w:rPr>
            <w:color w:val="274D79"/>
          </w:rPr>
          <w:t>[19] Р, NEJM, 2023. Waibel et al. — Baricitinib and beta cell function in new onset T1D</w:t>
        </w:r>
      </w:hyperlink>
    </w:p>
    <w:p>
      <w:pPr>
        <w:spacing w:after="100"/>
      </w:pPr>
      <w:hyperlink r:id="rId28">
        <w:r>
          <w:rPr>
            <w:color w:val="274D79"/>
          </w:rPr>
          <w:t>[20] Р, Nature Medicine, 2024. Tatovic et al. — Ustekinumab randomized phase 2 trial in adolescents</w:t>
        </w:r>
      </w:hyperlink>
    </w:p>
    <w:p>
      <w:pPr>
        <w:spacing w:after="100"/>
      </w:pPr>
      <w:hyperlink r:id="rId29">
        <w:r>
          <w:rPr>
            <w:color w:val="274D79"/>
          </w:rPr>
          <w:t>[21] Р, NEJM, 2020. Quattrin et al. — Golimumab and beta cell function in youth</w:t>
        </w:r>
      </w:hyperlink>
    </w:p>
    <w:p>
      <w:pPr>
        <w:spacing w:after="100"/>
      </w:pPr>
      <w:hyperlink r:id="rId30">
        <w:r>
          <w:rPr>
            <w:color w:val="274D79"/>
          </w:rPr>
          <w:t>[22] Р, NEJM, 2009. Pescovitz et al. — Rituximab and preservation of beta cell function</w:t>
        </w:r>
      </w:hyperlink>
    </w:p>
    <w:p>
      <w:pPr>
        <w:spacing w:after="100"/>
      </w:pPr>
      <w:hyperlink r:id="rId31">
        <w:r>
          <w:rPr>
            <w:color w:val="274D79"/>
          </w:rPr>
          <w:t>[23] Р, Diabetes Care, 2023. Russell et al. — Abatacept prevention trial in stage 1 relatives</w:t>
        </w:r>
      </w:hyperlink>
    </w:p>
    <w:p>
      <w:pPr>
        <w:spacing w:after="100"/>
      </w:pPr>
      <w:hyperlink r:id="rId32">
        <w:r>
          <w:rPr>
            <w:color w:val="274D79"/>
          </w:rPr>
          <w:t>[24] Р, Diabetes Care, 2019. Haller et al. — Low dose ATG preserves C peptide</w:t>
        </w:r>
      </w:hyperlink>
    </w:p>
    <w:p>
      <w:pPr>
        <w:spacing w:after="100"/>
      </w:pPr>
      <w:hyperlink r:id="rId33">
        <w:r>
          <w:rPr>
            <w:color w:val="274D79"/>
          </w:rPr>
          <w:t>[25] Р, Science Translational Medicine, 2015. Bluestone et al. — Polyclonal regulatory T cells in T1D</w:t>
        </w:r>
      </w:hyperlink>
    </w:p>
    <w:p>
      <w:pPr>
        <w:spacing w:after="100"/>
      </w:pPr>
      <w:hyperlink r:id="rId34">
        <w:r>
          <w:rPr>
            <w:color w:val="274D79"/>
          </w:rPr>
          <w:t>[26] Р, 2024. Bender et al. — Randomized phase 2 trial of autologous polyclonal Tregs</w:t>
        </w:r>
      </w:hyperlink>
    </w:p>
    <w:p>
      <w:pPr>
        <w:spacing w:after="100"/>
      </w:pPr>
      <w:hyperlink r:id="rId35">
        <w:r>
          <w:rPr>
            <w:color w:val="274D79"/>
          </w:rPr>
          <w:t>[27] К, 27.07.2026. Diamyd — DIAGNODE-3 interim analysis did not meet continuation criteria</w:t>
        </w:r>
      </w:hyperlink>
    </w:p>
    <w:p>
      <w:pPr>
        <w:spacing w:after="100"/>
      </w:pPr>
      <w:hyperlink r:id="rId36">
        <w:r>
          <w:rPr>
            <w:color w:val="274D79"/>
          </w:rPr>
          <w:t>[28] К. IMPACT — IMCY-0098 study investigator description</w:t>
        </w:r>
      </w:hyperlink>
    </w:p>
    <w:p>
      <w:pPr>
        <w:spacing w:after="100"/>
      </w:pPr>
      <w:hyperlink r:id="rId37">
        <w:r>
          <w:rPr>
            <w:color w:val="274D79"/>
          </w:rPr>
          <w:t>[29] Ре. NCT06783309 — CNP-103 in recently diagnosed T1D</w:t>
        </w:r>
      </w:hyperlink>
    </w:p>
    <w:p>
      <w:pPr>
        <w:spacing w:after="100"/>
      </w:pPr>
      <w:hyperlink r:id="rId38">
        <w:r>
          <w:rPr>
            <w:color w:val="274D79"/>
          </w:rPr>
          <w:t>[30] Р, JAMA, 2023. Forlenza et al. — Verapamil randomized trial in children</w:t>
        </w:r>
      </w:hyperlink>
    </w:p>
    <w:p>
      <w:pPr>
        <w:spacing w:after="100"/>
      </w:pPr>
      <w:hyperlink r:id="rId39">
        <w:r>
          <w:rPr>
            <w:color w:val="274D79"/>
          </w:rPr>
          <w:t>[31] Р, Science Translational Medicine, 2024. Rosselot et al. — Harmine and exendin-4 expand human beta cell mass in mice</w:t>
        </w:r>
      </w:hyperlink>
    </w:p>
    <w:p>
      <w:pPr>
        <w:spacing w:after="100"/>
      </w:pPr>
      <w:hyperlink r:id="rId40">
        <w:r>
          <w:rPr>
            <w:color w:val="274D79"/>
          </w:rPr>
          <w:t>[32] Ре; текущий статус требует проверки. NCT06152042 — BMF-219 phase 2 in type 1 diabetes</w:t>
        </w:r>
      </w:hyperlink>
    </w:p>
    <w:p>
      <w:pPr>
        <w:spacing w:after="100"/>
      </w:pPr>
      <w:hyperlink r:id="rId41">
        <w:r>
          <w:rPr>
            <w:color w:val="274D79"/>
          </w:rPr>
          <w:t>[33] Р, Diabetes Care, 2025, DOI 10.2337/dc24-2121. Mynarek et al. — Three year follow up of antiviral treatment in T1D</w:t>
        </w:r>
      </w:hyperlink>
    </w:p>
    <w:p>
      <w:pPr>
        <w:spacing w:after="100"/>
      </w:pPr>
      <w:hyperlink r:id="rId42">
        <w:r>
          <w:rPr>
            <w:color w:val="274D79"/>
          </w:rPr>
          <w:t>[34] Р, npj Vaccines, 2018. Kuhtreiber et al. — BCG and long term glycemia</w:t>
        </w:r>
      </w:hyperlink>
    </w:p>
    <w:p>
      <w:pPr>
        <w:spacing w:after="100"/>
      </w:pPr>
      <w:hyperlink r:id="rId43">
        <w:r>
          <w:rPr>
            <w:color w:val="274D79"/>
          </w:rPr>
          <w:t>[35] Р, JAMA, 2009. Couri et al. — Autologous hematopoietic transplantation in newly diagnosed T1D</w:t>
        </w:r>
      </w:hyperlink>
    </w:p>
    <w:p>
      <w:pPr>
        <w:spacing w:after="100"/>
      </w:pPr>
      <w:hyperlink r:id="rId44">
        <w:r>
          <w:rPr>
            <w:color w:val="274D79"/>
          </w:rPr>
          <w:t>[36] Р, Nature Metabolism, 2023. Huang et al. — Electrogenetic control of gene expression by direct current</w:t>
        </w:r>
      </w:hyperlink>
    </w:p>
    <w:p>
      <w:pPr>
        <w:spacing w:after="100"/>
      </w:pPr>
      <w:hyperlink r:id="rId45">
        <w:r>
          <w:rPr>
            <w:color w:val="274D79"/>
          </w:rPr>
          <w:t>[37] Р, Science, 2012. Stanley et al. — Radio wave heating of nanoparticles and glucose control in mice</w:t>
        </w:r>
      </w:hyperlink>
    </w:p>
    <w:p>
      <w:pPr>
        <w:spacing w:after="100"/>
      </w:pPr>
      <w:hyperlink r:id="rId46">
        <w:r>
          <w:rPr>
            <w:color w:val="274D79"/>
          </w:rPr>
          <w:t>[38] Р, Cell Transplantation, 2013. Barkai et al. — Oxygen supply and islet viability in an immunoisolation device</w:t>
        </w:r>
      </w:hyperlink>
    </w:p>
    <w:p>
      <w:pPr>
        <w:spacing w:after="100"/>
      </w:pPr>
      <w:hyperlink r:id="rId47">
        <w:r>
          <w:rPr>
            <w:color w:val="274D79"/>
          </w:rPr>
          <w:t>[39] Р, Journal of Experimental Medicine, 2011. Daniel et al. — Tolerogenic insulin mimetope vaccination in mice</w:t>
        </w:r>
      </w:hyperlink>
    </w:p>
    <w:p>
      <w:pPr>
        <w:spacing w:after="100"/>
      </w:pPr>
      <w:hyperlink r:id="rId48">
        <w:r>
          <w:rPr>
            <w:color w:val="274D79"/>
          </w:rPr>
          <w:t>[40] Р, JAMA, 2023. McVean et al. — Intensive glycemic control and beta cell preservation</w:t>
        </w:r>
      </w:hyperlink>
    </w:p>
    <w:p>
      <w:pPr>
        <w:spacing w:after="100"/>
      </w:pPr>
      <w:hyperlink r:id="rId49">
        <w:r>
          <w:rPr>
            <w:color w:val="274D79"/>
          </w:rPr>
          <w:t>[41] Ре; идентификатор из материалов программы. NCT04786262 — Zimislecel FORWARD</w:t>
        </w:r>
      </w:hyperlink>
    </w:p>
    <w:p>
      <w:pPr>
        <w:spacing w:after="100"/>
      </w:pPr>
      <w:hyperlink r:id="rId50">
        <w:r>
          <w:rPr>
            <w:color w:val="274D79"/>
          </w:rPr>
          <w:t>[42] Ре; идентификатор из материалов программы. NCT06305286 — Tegoprubart and donor islets</w:t>
        </w:r>
      </w:hyperlink>
    </w:p>
    <w:p>
      <w:pPr>
        <w:spacing w:after="100"/>
      </w:pPr>
      <w:hyperlink r:id="rId51">
        <w:r>
          <w:rPr>
            <w:color w:val="274D79"/>
          </w:rPr>
          <w:t>[43] Ре; идентификатор из материалов программы. NCT03513939 — Sernova Cell Pouch</w:t>
        </w:r>
      </w:hyperlink>
    </w:p>
    <w:p>
      <w:pPr>
        <w:spacing w:after="100"/>
      </w:pPr>
      <w:hyperlink r:id="rId52">
        <w:r>
          <w:rPr>
            <w:color w:val="274D79"/>
          </w:rPr>
          <w:t>[44] Ре; идентификатор из материалов программы. NCT06239636 — UP421 hypoimmune donor islets</w:t>
        </w:r>
      </w:hyperlink>
    </w:p>
    <w:p>
      <w:pPr>
        <w:spacing w:after="100"/>
      </w:pPr>
      <w:hyperlink r:id="rId53">
        <w:r>
          <w:rPr>
            <w:color w:val="274D79"/>
          </w:rPr>
          <w:t>[45] Ре. NCT06408311 — Encellin ENCRT</w:t>
        </w:r>
      </w:hyperlink>
    </w:p>
    <w:p>
      <w:pPr>
        <w:spacing w:after="100"/>
      </w:pPr>
      <w:hyperlink r:id="rId54">
        <w:r>
          <w:rPr>
            <w:color w:val="274D79"/>
          </w:rPr>
          <w:t>[46] Р, Nature, 2004. Poy et al. — Islet specific microRNA regulates insulin secretion</w:t>
        </w:r>
      </w:hyperlink>
    </w:p>
    <w:p>
      <w:pPr>
        <w:spacing w:after="100"/>
      </w:pPr>
      <w:hyperlink r:id="rId55">
        <w:r>
          <w:rPr>
            <w:color w:val="274D79"/>
          </w:rPr>
          <w:t>[47] Р, Diabetes, 2014. Brissova et al. — VEGF and the islet vascular microenvironment</w:t>
        </w:r>
      </w:hyperlink>
    </w:p>
    <w:sectPr w:rsidR="00FC693F" w:rsidRPr="0006063C" w:rsidSect="00034616">
      <w:footerReference w:type="default" r:id="rId56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085"/>
        <w:sz w:val="16"/>
      </w:rPr>
      <w:t xml:space="preserve">SP Science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20" w:line="240" w:lineRule="auto" w:before="0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rial" w:hAnsi="Arial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niddk.nih.gov/health-information/diabetes/overview/insulin-medicines-treatments/pancreatic-islet-transplantation" TargetMode="External"/><Relationship Id="rId10" Type="http://schemas.openxmlformats.org/officeDocument/2006/relationships/hyperlink" Target="https://www.fda.gov/media/169920/download" TargetMode="External"/><Relationship Id="rId11" Type="http://schemas.openxmlformats.org/officeDocument/2006/relationships/hyperlink" Target="https://news.vrtx.com/news-releases/news-release-details/vertex-presents-positive-data-zimislecel-type-1-diabetes" TargetMode="External"/><Relationship Id="rId12" Type="http://schemas.openxmlformats.org/officeDocument/2006/relationships/hyperlink" Target="https://www.vrtx.com/our-science/pipeline/type-1-diabetes/" TargetMode="External"/><Relationship Id="rId13" Type="http://schemas.openxmlformats.org/officeDocument/2006/relationships/hyperlink" Target="https://www.globenewswire.com/news-release/2026/09/03/3355769/0/en/eledon-pharmaceuticals-announces-islet-cell-transplantation-ind-submission-first-patients-enrolled-in-multiple-transplant-programs-and-reaffirms-plan-to-initiate-phase-3-kidney-tra.html" TargetMode="External"/><Relationship Id="rId14" Type="http://schemas.openxmlformats.org/officeDocument/2006/relationships/hyperlink" Target="https://www.pwitkowski.org/copy-of-tegoprubart-eledon" TargetMode="External"/><Relationship Id="rId15" Type="http://schemas.openxmlformats.org/officeDocument/2006/relationships/hyperlink" Target="https://www.amjtransplant.org/article/S1600-6135%2825%2903331-3/abstract" TargetMode="External"/><Relationship Id="rId16" Type="http://schemas.openxmlformats.org/officeDocument/2006/relationships/hyperlink" Target="https://sernova.com/press_releases/sernova-and-seraxis-enter-definitive-merger-agreement-to-create-a-differentiated-type-1-diabetes-islet-cell-replacement-biotech-company-betanova-biotherapeutics/" TargetMode="External"/><Relationship Id="rId17" Type="http://schemas.openxmlformats.org/officeDocument/2006/relationships/hyperlink" Target="https://sernova.com/pipeline/" TargetMode="External"/><Relationship Id="rId18" Type="http://schemas.openxmlformats.org/officeDocument/2006/relationships/hyperlink" Target="https://ir.sana.com/news-releases/news-release-details/sana-biotechnology-reports-second-quarter-2026-financial-results" TargetMode="External"/><Relationship Id="rId19" Type="http://schemas.openxmlformats.org/officeDocument/2006/relationships/hyperlink" Target="https://www.isscr.org/isscr-news/encellin-announces-new-phase-1-clinical-progress-at-isscr-2026-showing-early-evidence-of-non-fibrotic-engraftment-of-cell-therapy-implant-for-type-1-diabetes" TargetMode="External"/><Relationship Id="rId20" Type="http://schemas.openxmlformats.org/officeDocument/2006/relationships/hyperlink" Target="https://www.encellin.com/technology" TargetMode="External"/><Relationship Id="rId21" Type="http://schemas.openxmlformats.org/officeDocument/2006/relationships/hyperlink" Target="https://clinicaltrials.gov/study/NCT05565248" TargetMode="External"/><Relationship Id="rId22" Type="http://schemas.openxmlformats.org/officeDocument/2006/relationships/hyperlink" Target="https://clinicaltrials.gov/study/NCT06575426" TargetMode="External"/><Relationship Id="rId23" Type="http://schemas.openxmlformats.org/officeDocument/2006/relationships/hyperlink" Target="https://pubmed.ncbi.nlm.nih.gov/39326417/" TargetMode="External"/><Relationship Id="rId24" Type="http://schemas.openxmlformats.org/officeDocument/2006/relationships/hyperlink" Target="https://itolerance.com/kadimastem-and-itolerance-successfully-complete-pre-ind-meeting-with-the-fda-for-its-type-1-diabetes-treatment/" TargetMode="External"/><Relationship Id="rId25" Type="http://schemas.openxmlformats.org/officeDocument/2006/relationships/hyperlink" Target="https://www.ema.europa.eu/en/medicines/human/EPAR/teizeild" TargetMode="External"/><Relationship Id="rId26" Type="http://schemas.openxmlformats.org/officeDocument/2006/relationships/hyperlink" Target="https://www.sanofi.com/en/media-room/press-releases/2026/2026-06-12-22-09-58-3311349" TargetMode="External"/><Relationship Id="rId27" Type="http://schemas.openxmlformats.org/officeDocument/2006/relationships/hyperlink" Target="https://www.nejm.org/doi/abs/10.1056/NEJMoa2306691" TargetMode="External"/><Relationship Id="rId28" Type="http://schemas.openxmlformats.org/officeDocument/2006/relationships/hyperlink" Target="https://www.nature.com/articles/s41591-024-03115-2" TargetMode="External"/><Relationship Id="rId29" Type="http://schemas.openxmlformats.org/officeDocument/2006/relationships/hyperlink" Target="https://pubmed.ncbi.nlm.nih.gov/33207093/" TargetMode="External"/><Relationship Id="rId30" Type="http://schemas.openxmlformats.org/officeDocument/2006/relationships/hyperlink" Target="https://pubmed.ncbi.nlm.nih.gov/19940299/" TargetMode="External"/><Relationship Id="rId31" Type="http://schemas.openxmlformats.org/officeDocument/2006/relationships/hyperlink" Target="https://pmc.ncbi.nlm.nih.gov/articles/PMC10154649/" TargetMode="External"/><Relationship Id="rId32" Type="http://schemas.openxmlformats.org/officeDocument/2006/relationships/hyperlink" Target="https://escholarship.org/uc/item/9x62j278" TargetMode="External"/><Relationship Id="rId33" Type="http://schemas.openxmlformats.org/officeDocument/2006/relationships/hyperlink" Target="https://pmc.ncbi.nlm.nih.gov/articles/PMC4729454/" TargetMode="External"/><Relationship Id="rId34" Type="http://schemas.openxmlformats.org/officeDocument/2006/relationships/hyperlink" Target="https://www.science.org/doi/10.1126/scitranslmed.adn2404" TargetMode="External"/><Relationship Id="rId35" Type="http://schemas.openxmlformats.org/officeDocument/2006/relationships/hyperlink" Target="https://www.diamyd.com/docs/pressClips.aspx?ClipID=5401872" TargetMode="External"/><Relationship Id="rId36" Type="http://schemas.openxmlformats.org/officeDocument/2006/relationships/hyperlink" Target="https://type1diabetesresearch.org.uk/current-research/impact-study/" TargetMode="External"/><Relationship Id="rId37" Type="http://schemas.openxmlformats.org/officeDocument/2006/relationships/hyperlink" Target="https://clinicaltrials.gov/study/NCT06783309" TargetMode="External"/><Relationship Id="rId38" Type="http://schemas.openxmlformats.org/officeDocument/2006/relationships/hyperlink" Target="https://pmc.ncbi.nlm.nih.gov/articles/PMC9960020/" TargetMode="External"/><Relationship Id="rId39" Type="http://schemas.openxmlformats.org/officeDocument/2006/relationships/hyperlink" Target="https://pubmed.ncbi.nlm.nih.gov/38985854/" TargetMode="External"/><Relationship Id="rId40" Type="http://schemas.openxmlformats.org/officeDocument/2006/relationships/hyperlink" Target="https://clinicaltrials.gov/study/NCT06152042" TargetMode="External"/><Relationship Id="rId41" Type="http://schemas.openxmlformats.org/officeDocument/2006/relationships/hyperlink" Target="https://researchprofiles.ku.dk/en/publications/three-year-follow-up-after-antiviral-treatment-in-new-onset-type-/" TargetMode="External"/><Relationship Id="rId42" Type="http://schemas.openxmlformats.org/officeDocument/2006/relationships/hyperlink" Target="https://www.nature.com/articles/s41541-018-0062-8" TargetMode="External"/><Relationship Id="rId43" Type="http://schemas.openxmlformats.org/officeDocument/2006/relationships/hyperlink" Target="https://pubmed.ncbi.nlm.nih.gov/19366777/" TargetMode="External"/><Relationship Id="rId44" Type="http://schemas.openxmlformats.org/officeDocument/2006/relationships/hyperlink" Target="https://pmc.ncbi.nlm.nih.gov/articles/PMC10447240/" TargetMode="External"/><Relationship Id="rId45" Type="http://schemas.openxmlformats.org/officeDocument/2006/relationships/hyperlink" Target="https://pmc.ncbi.nlm.nih.gov/articles/PMC3646550/" TargetMode="External"/><Relationship Id="rId46" Type="http://schemas.openxmlformats.org/officeDocument/2006/relationships/hyperlink" Target="https://pubmed.ncbi.nlm.nih.gov/23043896/" TargetMode="External"/><Relationship Id="rId47" Type="http://schemas.openxmlformats.org/officeDocument/2006/relationships/hyperlink" Target="https://pmc.ncbi.nlm.nih.gov/articles/PMC3135372/" TargetMode="External"/><Relationship Id="rId48" Type="http://schemas.openxmlformats.org/officeDocument/2006/relationships/hyperlink" Target="https://jamanetwork.com/journals/jama/fullarticle/2801975" TargetMode="External"/><Relationship Id="rId49" Type="http://schemas.openxmlformats.org/officeDocument/2006/relationships/hyperlink" Target="https://clinicaltrials.gov/study/NCT04786262" TargetMode="External"/><Relationship Id="rId50" Type="http://schemas.openxmlformats.org/officeDocument/2006/relationships/hyperlink" Target="https://clinicaltrials.gov/study/NCT06305286" TargetMode="External"/><Relationship Id="rId51" Type="http://schemas.openxmlformats.org/officeDocument/2006/relationships/hyperlink" Target="https://clinicaltrials.gov/study/NCT03513939" TargetMode="External"/><Relationship Id="rId52" Type="http://schemas.openxmlformats.org/officeDocument/2006/relationships/hyperlink" Target="https://clinicaltrials.gov/study/NCT06239636" TargetMode="External"/><Relationship Id="rId53" Type="http://schemas.openxmlformats.org/officeDocument/2006/relationships/hyperlink" Target="https://clinicaltrials.gov/study/NCT06408311" TargetMode="External"/><Relationship Id="rId54" Type="http://schemas.openxmlformats.org/officeDocument/2006/relationships/hyperlink" Target="https://pubmed.ncbi.nlm.nih.gov/15538371/" TargetMode="External"/><Relationship Id="rId55" Type="http://schemas.openxmlformats.org/officeDocument/2006/relationships/hyperlink" Target="https://pubmed.ncbi.nlm.nih.gov/24561261/" TargetMode="External"/><Relationship Id="rId5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карта исследований потенциальных терапий и путей к излечению сахарного диабета 1 типа</dc:title>
  <dc:subject>SP Science Research Centre</dc:subject>
  <dc:creator>Oleg Pogozhev; Bulat Valitov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